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40"/>
        <w:jc w:val="left"/>
        <w:rPr>
          <w:rFonts w:ascii="黑体" w:hAnsi="宋体" w:eastAsia="黑体" w:cs="宋体"/>
          <w:kern w:val="0"/>
          <w:sz w:val="32"/>
          <w:szCs w:val="32"/>
          <w:lang w:val="zh-CN" w:bidi="zh-CN"/>
        </w:rPr>
      </w:pPr>
      <w:r>
        <w:rPr>
          <w:rFonts w:hint="eastAsia" w:ascii="黑体" w:hAnsi="宋体" w:eastAsia="黑体" w:cs="宋体"/>
          <w:kern w:val="0"/>
          <w:sz w:val="32"/>
          <w:szCs w:val="32"/>
          <w:lang w:val="zh-CN" w:bidi="zh-CN"/>
        </w:rPr>
        <w:t>附件 9：</w:t>
      </w:r>
    </w:p>
    <w:p>
      <w:pPr>
        <w:rPr>
          <w:rFonts w:ascii="黑体" w:hAnsi="Calibri" w:eastAsia="宋体" w:cs="Times New Roman"/>
          <w:b/>
          <w:sz w:val="20"/>
          <w:lang w:val="zh-CN" w:eastAsia="zh-CN"/>
        </w:rPr>
      </w:pPr>
    </w:p>
    <w:p>
      <w:pPr>
        <w:rPr>
          <w:rFonts w:ascii="黑体" w:hAnsi="Calibri" w:eastAsia="宋体" w:cs="Times New Roman"/>
          <w:b/>
          <w:sz w:val="20"/>
          <w:lang w:val="zh-CN" w:eastAsia="zh-CN"/>
        </w:rPr>
      </w:pPr>
    </w:p>
    <w:p>
      <w:pPr>
        <w:autoSpaceDE w:val="0"/>
        <w:autoSpaceDN w:val="0"/>
        <w:spacing w:before="237"/>
        <w:ind w:right="238"/>
        <w:jc w:val="center"/>
        <w:outlineLvl w:val="0"/>
        <w:rPr>
          <w:rFonts w:ascii="宋体" w:hAnsi="宋体" w:eastAsia="宋体" w:cs="宋体"/>
          <w:kern w:val="0"/>
          <w:sz w:val="44"/>
          <w:szCs w:val="44"/>
          <w:lang w:val="zh-CN" w:bidi="zh-CN"/>
        </w:rPr>
      </w:pPr>
      <w:r>
        <w:rPr>
          <w:rFonts w:ascii="宋体" w:hAnsi="宋体" w:eastAsia="宋体" w:cs="宋体"/>
          <w:kern w:val="0"/>
          <w:sz w:val="44"/>
          <w:szCs w:val="44"/>
          <w:lang w:val="zh-CN" w:bidi="zh-CN"/>
        </w:rPr>
        <w:t>项目支出部门评价报告</w:t>
      </w:r>
    </w:p>
    <w:p>
      <w:pPr>
        <w:spacing w:before="7"/>
        <w:rPr>
          <w:rFonts w:ascii="Calibri" w:hAnsi="Calibri" w:eastAsia="宋体" w:cs="Times New Roman"/>
          <w:b/>
          <w:sz w:val="77"/>
          <w:lang w:val="zh-CN" w:eastAsia="zh-CN"/>
        </w:rPr>
      </w:pPr>
    </w:p>
    <w:p>
      <w:pPr>
        <w:tabs>
          <w:tab w:val="left" w:pos="5404"/>
        </w:tabs>
        <w:autoSpaceDE w:val="0"/>
        <w:autoSpaceDN w:val="0"/>
        <w:ind w:right="665"/>
        <w:jc w:val="center"/>
        <w:rPr>
          <w:rFonts w:ascii="黑体" w:hAnsi="黑体" w:eastAsia="黑体" w:cs="宋体"/>
          <w:kern w:val="0"/>
          <w:sz w:val="32"/>
          <w:szCs w:val="32"/>
          <w:lang w:val="zh-CN" w:bidi="zh-CN"/>
        </w:rPr>
      </w:pPr>
      <w:r>
        <w:rPr>
          <w:rFonts w:ascii="黑体" w:hAnsi="黑体" w:eastAsia="黑体" w:cs="宋体"/>
          <w:kern w:val="0"/>
          <w:sz w:val="32"/>
          <w:szCs w:val="32"/>
          <w:lang w:val="zh-CN" w:bidi="zh-CN"/>
        </w:rPr>
        <mc:AlternateContent>
          <mc:Choice Requires="wps">
            <w:drawing>
              <wp:anchor distT="0" distB="0" distL="114300" distR="114300" simplePos="0" relativeHeight="251658240" behindDoc="1" locked="0" layoutInCell="1" allowOverlap="1">
                <wp:simplePos x="0" y="0"/>
                <wp:positionH relativeFrom="page">
                  <wp:posOffset>2115185</wp:posOffset>
                </wp:positionH>
                <wp:positionV relativeFrom="paragraph">
                  <wp:posOffset>363855</wp:posOffset>
                </wp:positionV>
                <wp:extent cx="411988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4119880" cy="0"/>
                        </a:xfrm>
                        <a:prstGeom prst="line">
                          <a:avLst/>
                        </a:prstGeom>
                        <a:ln w="9906"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6.55pt;margin-top:28.65pt;height:0pt;width:324.4pt;mso-position-horizontal-relative:page;z-index:-251658240;mso-width-relative:page;mso-height-relative:page;" filled="f" stroked="t" coordsize="21600,21600" o:gfxdata="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b9wZNYAAAAJAQAADwAAAAAAAAABACAAAAAi&#10;AAAAZHJzL2Rvd25yZXYueG1sUEsBAhQAFAAAAAgAh07iQNduiZ3TAQAAigMAAA4AAAAAAAAAAQAg&#10;AAAAJQEAAGRycy9lMm9Eb2MueG1sUEsFBgAAAAAGAAYAWQEAAGoFAAAAAA==&#10;">
                <v:fill on="f" focussize="0,0"/>
                <v:stroke weight="0.78pt" color="#000000" joinstyle="round"/>
                <v:imagedata o:title=""/>
                <o:lock v:ext="edit" aspectratio="f"/>
              </v:line>
            </w:pict>
          </mc:Fallback>
        </mc:AlternateContent>
      </w:r>
      <w:r>
        <w:rPr>
          <w:rFonts w:hint="eastAsia" w:ascii="黑体" w:hAnsi="黑体" w:eastAsia="黑体" w:cs="宋体"/>
          <w:kern w:val="0"/>
          <w:sz w:val="32"/>
          <w:szCs w:val="32"/>
          <w:lang w:val="zh-CN" w:bidi="zh-CN"/>
        </w:rPr>
        <w:t>评价类型：</w:t>
      </w:r>
      <w:r>
        <w:rPr>
          <w:rFonts w:ascii="黑体" w:hAnsi="黑体" w:eastAsia="黑体" w:cs="宋体"/>
          <w:kern w:val="0"/>
          <w:sz w:val="32"/>
          <w:szCs w:val="32"/>
          <w:lang w:val="zh-CN" w:bidi="zh-CN"/>
        </w:rPr>
        <w:t></w:t>
      </w:r>
      <w:r>
        <w:rPr>
          <w:rFonts w:hint="eastAsia" w:ascii="黑体" w:hAnsi="黑体" w:eastAsia="黑体" w:cs="宋体"/>
          <w:kern w:val="0"/>
          <w:sz w:val="32"/>
          <w:szCs w:val="32"/>
          <w:lang w:val="zh-CN" w:bidi="zh-CN"/>
        </w:rPr>
        <w:t>实施过程评价</w:t>
      </w:r>
      <w:r>
        <w:rPr>
          <w:rFonts w:hint="eastAsia" w:ascii="黑体" w:hAnsi="黑体" w:eastAsia="黑体" w:cs="宋体"/>
          <w:kern w:val="0"/>
          <w:sz w:val="32"/>
          <w:szCs w:val="32"/>
          <w:lang w:val="zh-CN" w:bidi="zh-CN"/>
        </w:rPr>
        <w:tab/>
      </w:r>
      <w:r>
        <w:rPr>
          <w:rFonts w:hint="eastAsia" w:ascii="黑体" w:hAnsi="黑体" w:eastAsia="黑体" w:cs="宋体"/>
          <w:kern w:val="0"/>
          <w:sz w:val="32"/>
          <w:szCs w:val="32"/>
          <w:lang w:val="zh-CN" w:bidi="zh-CN"/>
        </w:rPr>
        <w:t>√完成结果评价</w:t>
      </w:r>
    </w:p>
    <w:p>
      <w:pPr>
        <w:rPr>
          <w:rFonts w:ascii="黑体" w:hAnsi="Calibri" w:eastAsia="宋体" w:cs="Times New Roman"/>
          <w:b/>
          <w:sz w:val="20"/>
          <w:lang w:val="zh-CN" w:eastAsia="zh-CN"/>
        </w:rPr>
      </w:pPr>
    </w:p>
    <w:p>
      <w:pPr>
        <w:rPr>
          <w:rFonts w:ascii="黑体" w:hAnsi="Calibri" w:eastAsia="宋体" w:cs="Times New Roman"/>
          <w:b/>
          <w:sz w:val="20"/>
          <w:lang w:val="zh-CN" w:eastAsia="zh-CN"/>
        </w:rPr>
      </w:pPr>
    </w:p>
    <w:p>
      <w:pPr>
        <w:spacing w:before="7"/>
        <w:rPr>
          <w:rFonts w:ascii="黑体" w:hAnsi="Calibri" w:eastAsia="宋体" w:cs="Times New Roman"/>
          <w:b/>
          <w:sz w:val="16"/>
          <w:lang w:val="zh-CN" w:eastAsia="zh-CN"/>
        </w:rPr>
      </w:pPr>
    </w:p>
    <w:p>
      <w:pPr>
        <w:tabs>
          <w:tab w:val="left" w:pos="8157"/>
        </w:tabs>
        <w:autoSpaceDE w:val="0"/>
        <w:autoSpaceDN w:val="0"/>
        <w:spacing w:before="66"/>
        <w:ind w:right="117" w:firstLine="636" w:firstLineChars="200"/>
        <w:rPr>
          <w:rFonts w:ascii="黑体" w:hAnsi="宋体" w:eastAsia="黑体" w:cs="宋体"/>
          <w:spacing w:val="-1"/>
          <w:kern w:val="0"/>
          <w:sz w:val="32"/>
          <w:szCs w:val="32"/>
          <w:lang w:val="zh-CN" w:bidi="zh-CN"/>
        </w:rPr>
      </w:pPr>
      <w:r>
        <w:rPr>
          <w:rFonts w:hint="eastAsia" w:ascii="黑体" w:hAnsi="宋体" w:eastAsia="黑体" w:cs="宋体"/>
          <w:spacing w:val="-1"/>
          <w:kern w:val="0"/>
          <w:sz w:val="32"/>
          <w:szCs w:val="32"/>
          <w:lang w:val="zh-CN" w:bidi="zh-CN"/>
        </w:rPr>
        <w:t>项目名称：</w:t>
      </w:r>
      <w:r>
        <w:rPr>
          <w:rFonts w:ascii="黑体" w:hAnsi="宋体" w:eastAsia="黑体" w:cs="宋体"/>
          <w:spacing w:val="-1"/>
          <w:kern w:val="0"/>
          <w:sz w:val="32"/>
          <w:szCs w:val="32"/>
          <w:u w:val="single"/>
          <w:lang w:val="zh-CN" w:bidi="zh-CN"/>
        </w:rPr>
        <w:t>2019年农村饮水安全巩固提升工程</w:t>
      </w:r>
      <w:r>
        <w:rPr>
          <w:rFonts w:hint="eastAsia" w:ascii="黑体" w:hAnsi="宋体" w:eastAsia="黑体" w:cs="宋体"/>
          <w:spacing w:val="-1"/>
          <w:kern w:val="0"/>
          <w:sz w:val="32"/>
          <w:szCs w:val="32"/>
          <w:u w:val="single"/>
          <w:lang w:val="zh-CN" w:bidi="zh-CN"/>
        </w:rPr>
        <w:t xml:space="preserve"> </w:t>
      </w:r>
      <w:r>
        <w:rPr>
          <w:rFonts w:ascii="黑体" w:hAnsi="宋体" w:eastAsia="黑体" w:cs="宋体"/>
          <w:spacing w:val="-1"/>
          <w:kern w:val="0"/>
          <w:sz w:val="32"/>
          <w:szCs w:val="32"/>
          <w:u w:val="single"/>
          <w:lang w:val="zh-CN" w:bidi="zh-CN"/>
        </w:rPr>
        <w:t xml:space="preserve">          </w:t>
      </w:r>
    </w:p>
    <w:p>
      <w:pPr>
        <w:rPr>
          <w:rFonts w:ascii="Times New Roman" w:hAnsi="Calibri" w:eastAsia="宋体" w:cs="Times New Roman"/>
          <w:b/>
          <w:sz w:val="20"/>
          <w:lang w:val="zh-CN" w:eastAsia="zh-CN"/>
        </w:rPr>
      </w:pPr>
    </w:p>
    <w:p>
      <w:pPr>
        <w:spacing w:before="11"/>
        <w:rPr>
          <w:rFonts w:ascii="Times New Roman" w:hAnsi="Calibri" w:eastAsia="宋体" w:cs="Times New Roman"/>
          <w:b/>
          <w:sz w:val="22"/>
          <w:lang w:val="zh-CN" w:eastAsia="zh-CN"/>
        </w:rPr>
      </w:pPr>
    </w:p>
    <w:p>
      <w:pPr>
        <w:tabs>
          <w:tab w:val="left" w:pos="8157"/>
        </w:tabs>
        <w:autoSpaceDE w:val="0"/>
        <w:autoSpaceDN w:val="0"/>
        <w:spacing w:before="66"/>
        <w:ind w:right="117" w:firstLine="636" w:firstLineChars="200"/>
        <w:rPr>
          <w:rFonts w:ascii="Times New Roman" w:hAnsi="Calibri" w:eastAsia="Times New Roman" w:cs="Times New Roman"/>
          <w:b/>
          <w:u w:val="single"/>
          <w:lang w:val="zh-CN" w:eastAsia="zh-CN"/>
        </w:rPr>
      </w:pPr>
      <w:r>
        <w:rPr>
          <w:rFonts w:hint="eastAsia" w:ascii="黑体" w:hAnsi="宋体" w:eastAsia="黑体" w:cs="宋体"/>
          <w:spacing w:val="-1"/>
          <w:kern w:val="0"/>
          <w:sz w:val="32"/>
          <w:szCs w:val="32"/>
          <w:lang w:val="zh-CN" w:bidi="zh-CN"/>
        </w:rPr>
        <w:t>项目单位：</w:t>
      </w:r>
      <w:r>
        <w:rPr>
          <w:rFonts w:ascii="黑体" w:hAnsi="宋体" w:eastAsia="黑体" w:cs="宋体"/>
          <w:spacing w:val="-1"/>
          <w:kern w:val="0"/>
          <w:sz w:val="32"/>
          <w:szCs w:val="32"/>
          <w:u w:val="single"/>
          <w:lang w:val="zh-CN" w:bidi="zh-CN"/>
        </w:rPr>
        <w:t xml:space="preserve"> </w:t>
      </w:r>
      <w:r>
        <w:rPr>
          <w:rFonts w:hint="eastAsia" w:ascii="黑体" w:hAnsi="宋体" w:eastAsia="黑体" w:cs="宋体"/>
          <w:spacing w:val="-1"/>
          <w:kern w:val="0"/>
          <w:sz w:val="32"/>
          <w:szCs w:val="32"/>
          <w:u w:val="single"/>
          <w:lang w:val="zh-CN" w:bidi="zh-CN"/>
        </w:rPr>
        <w:t>江西省南昌市</w:t>
      </w:r>
      <w:r>
        <w:rPr>
          <w:rFonts w:hint="eastAsia" w:ascii="黑体" w:hAnsi="宋体" w:eastAsia="黑体" w:cs="宋体"/>
          <w:spacing w:val="-1"/>
          <w:kern w:val="0"/>
          <w:sz w:val="32"/>
          <w:szCs w:val="32"/>
          <w:u w:val="single"/>
          <w:lang w:val="en-US" w:bidi="zh-CN"/>
        </w:rPr>
        <w:t>湾里管理局</w:t>
      </w:r>
      <w:r>
        <w:rPr>
          <w:rFonts w:hint="eastAsia" w:ascii="黑体" w:hAnsi="宋体" w:eastAsia="黑体" w:cs="宋体"/>
          <w:spacing w:val="-1"/>
          <w:kern w:val="0"/>
          <w:sz w:val="32"/>
          <w:szCs w:val="32"/>
          <w:u w:val="single"/>
          <w:lang w:val="zh-CN" w:bidi="zh-CN"/>
        </w:rPr>
        <w:t xml:space="preserve">罗亭镇人民政府 </w:t>
      </w:r>
      <w:r>
        <w:rPr>
          <w:rFonts w:ascii="黑体" w:hAnsi="宋体" w:eastAsia="黑体" w:cs="宋体"/>
          <w:spacing w:val="-1"/>
          <w:kern w:val="0"/>
          <w:sz w:val="32"/>
          <w:szCs w:val="32"/>
          <w:u w:val="single"/>
          <w:lang w:val="zh-CN" w:bidi="zh-CN"/>
        </w:rPr>
        <w:t xml:space="preserve">             </w:t>
      </w:r>
    </w:p>
    <w:p>
      <w:pPr>
        <w:rPr>
          <w:rFonts w:ascii="Times New Roman" w:hAnsi="Calibri" w:eastAsia="宋体" w:cs="Times New Roman"/>
          <w:b/>
          <w:sz w:val="20"/>
          <w:lang w:val="zh-CN" w:eastAsia="zh-CN"/>
        </w:rPr>
      </w:pPr>
    </w:p>
    <w:p>
      <w:pPr>
        <w:tabs>
          <w:tab w:val="left" w:pos="8157"/>
        </w:tabs>
        <w:autoSpaceDE w:val="0"/>
        <w:autoSpaceDN w:val="0"/>
        <w:spacing w:before="66"/>
        <w:ind w:right="117"/>
        <w:rPr>
          <w:rFonts w:ascii="Times New Roman" w:hAnsi="Calibri" w:eastAsia="宋体" w:cs="Times New Roman"/>
          <w:b/>
          <w:sz w:val="23"/>
          <w:lang w:val="zh-CN" w:eastAsia="zh-CN"/>
        </w:rPr>
      </w:pPr>
    </w:p>
    <w:p>
      <w:pPr>
        <w:tabs>
          <w:tab w:val="left" w:pos="8157"/>
        </w:tabs>
        <w:autoSpaceDE w:val="0"/>
        <w:autoSpaceDN w:val="0"/>
        <w:spacing w:before="66"/>
        <w:ind w:right="117" w:firstLine="636" w:firstLineChars="200"/>
        <w:rPr>
          <w:rFonts w:ascii="黑体" w:hAnsi="宋体" w:eastAsia="黑体" w:cs="宋体"/>
          <w:spacing w:val="-1"/>
          <w:kern w:val="0"/>
          <w:sz w:val="32"/>
          <w:szCs w:val="32"/>
          <w:u w:val="single"/>
          <w:lang w:val="zh-CN" w:bidi="zh-CN"/>
        </w:rPr>
      </w:pPr>
      <w:r>
        <w:rPr>
          <w:rFonts w:hint="eastAsia" w:ascii="黑体" w:hAnsi="宋体" w:eastAsia="黑体" w:cs="宋体"/>
          <w:spacing w:val="-1"/>
          <w:kern w:val="0"/>
          <w:sz w:val="32"/>
          <w:szCs w:val="32"/>
          <w:lang w:val="zh-CN" w:bidi="zh-CN"/>
        </w:rPr>
        <w:t>主管部门：</w:t>
      </w:r>
      <w:r>
        <w:rPr>
          <w:rFonts w:hint="eastAsia" w:ascii="黑体" w:hAnsi="宋体" w:eastAsia="黑体" w:cs="宋体"/>
          <w:spacing w:val="-1"/>
          <w:kern w:val="0"/>
          <w:sz w:val="32"/>
          <w:szCs w:val="32"/>
          <w:u w:val="single"/>
          <w:lang w:val="zh-CN" w:bidi="zh-CN"/>
        </w:rPr>
        <w:t xml:space="preserve"> 江西省南昌市</w:t>
      </w:r>
      <w:r>
        <w:rPr>
          <w:rFonts w:hint="eastAsia" w:ascii="黑体" w:hAnsi="宋体" w:eastAsia="黑体" w:cs="宋体"/>
          <w:spacing w:val="-1"/>
          <w:kern w:val="0"/>
          <w:sz w:val="32"/>
          <w:szCs w:val="32"/>
          <w:u w:val="single"/>
          <w:lang w:val="en-US" w:bidi="zh-CN"/>
        </w:rPr>
        <w:t>湾里管理局</w:t>
      </w:r>
      <w:r>
        <w:rPr>
          <w:rFonts w:hint="eastAsia" w:ascii="黑体" w:hAnsi="宋体" w:eastAsia="黑体" w:cs="宋体"/>
          <w:spacing w:val="-1"/>
          <w:kern w:val="0"/>
          <w:sz w:val="32"/>
          <w:szCs w:val="32"/>
          <w:u w:val="single"/>
          <w:lang w:val="zh-CN" w:bidi="zh-CN"/>
        </w:rPr>
        <w:t>罗亭镇人民政府</w:t>
      </w:r>
      <w:r>
        <w:rPr>
          <w:rFonts w:ascii="黑体" w:hAnsi="宋体" w:eastAsia="黑体" w:cs="宋体"/>
          <w:spacing w:val="-1"/>
          <w:kern w:val="0"/>
          <w:sz w:val="32"/>
          <w:szCs w:val="32"/>
          <w:u w:val="single"/>
          <w:lang w:val="zh-CN" w:bidi="zh-CN"/>
        </w:rPr>
        <w:t xml:space="preserve">   </w:t>
      </w:r>
      <w:r>
        <w:rPr>
          <w:rFonts w:hint="eastAsia" w:ascii="黑体" w:hAnsi="宋体" w:eastAsia="黑体" w:cs="宋体"/>
          <w:spacing w:val="-1"/>
          <w:kern w:val="0"/>
          <w:sz w:val="32"/>
          <w:szCs w:val="32"/>
          <w:u w:val="single"/>
          <w:lang w:val="zh-CN" w:bidi="zh-CN"/>
        </w:rPr>
        <w:t>（盖章）</w:t>
      </w:r>
    </w:p>
    <w:p>
      <w:pPr>
        <w:rPr>
          <w:rFonts w:ascii="黑体" w:hAnsi="Calibri" w:eastAsia="宋体" w:cs="Times New Roman"/>
          <w:b/>
          <w:sz w:val="20"/>
          <w:lang w:val="zh-CN" w:eastAsia="zh-CN"/>
        </w:rPr>
      </w:pPr>
    </w:p>
    <w:p>
      <w:pPr>
        <w:rPr>
          <w:rFonts w:ascii="黑体" w:hAnsi="Calibri" w:eastAsia="宋体" w:cs="Times New Roman"/>
          <w:b/>
          <w:sz w:val="20"/>
          <w:lang w:val="zh-CN" w:eastAsia="zh-CN"/>
        </w:rPr>
      </w:pPr>
    </w:p>
    <w:p>
      <w:pPr>
        <w:tabs>
          <w:tab w:val="left" w:pos="2634"/>
          <w:tab w:val="left" w:pos="4074"/>
          <w:tab w:val="left" w:pos="6150"/>
          <w:tab w:val="left" w:pos="6954"/>
          <w:tab w:val="left" w:pos="7758"/>
        </w:tabs>
        <w:spacing w:before="56"/>
        <w:ind w:firstLine="636" w:firstLineChars="200"/>
        <w:rPr>
          <w:rFonts w:ascii="黑体" w:hAnsi="宋体" w:eastAsia="黑体" w:cs="宋体"/>
          <w:spacing w:val="-1"/>
          <w:kern w:val="0"/>
          <w:sz w:val="32"/>
          <w:szCs w:val="32"/>
          <w:u w:val="single"/>
          <w:lang w:val="zh-CN" w:bidi="zh-CN"/>
        </w:rPr>
      </w:pPr>
      <w:r>
        <w:rPr>
          <w:rFonts w:hint="eastAsia" w:ascii="黑体" w:hAnsi="宋体" w:eastAsia="黑体" w:cs="宋体"/>
          <w:spacing w:val="-1"/>
          <w:kern w:val="0"/>
          <w:sz w:val="32"/>
          <w:szCs w:val="32"/>
          <w:lang w:val="zh-CN" w:bidi="zh-CN"/>
        </w:rPr>
        <w:t>评价时间：</w:t>
      </w:r>
      <w:r>
        <w:rPr>
          <w:rFonts w:hint="eastAsia" w:ascii="黑体" w:hAnsi="宋体" w:eastAsia="黑体" w:cs="宋体"/>
          <w:spacing w:val="-1"/>
          <w:kern w:val="0"/>
          <w:sz w:val="32"/>
          <w:szCs w:val="32"/>
          <w:u w:val="single"/>
          <w:lang w:val="zh-CN" w:bidi="zh-CN"/>
        </w:rPr>
        <w:tab/>
      </w:r>
      <w:r>
        <w:rPr>
          <w:rFonts w:ascii="黑体" w:hAnsi="宋体" w:eastAsia="黑体" w:cs="宋体"/>
          <w:spacing w:val="-1"/>
          <w:kern w:val="0"/>
          <w:sz w:val="32"/>
          <w:szCs w:val="32"/>
          <w:u w:val="single"/>
          <w:lang w:val="zh-CN" w:bidi="zh-CN"/>
        </w:rPr>
        <w:t>2021</w:t>
      </w:r>
      <w:r>
        <w:rPr>
          <w:rFonts w:hint="eastAsia" w:ascii="黑体" w:hAnsi="宋体" w:eastAsia="黑体" w:cs="宋体"/>
          <w:spacing w:val="-1"/>
          <w:kern w:val="0"/>
          <w:sz w:val="32"/>
          <w:szCs w:val="32"/>
          <w:u w:val="single"/>
          <w:lang w:val="zh-CN" w:bidi="zh-CN"/>
        </w:rPr>
        <w:t>年</w:t>
      </w:r>
      <w:r>
        <w:rPr>
          <w:rFonts w:ascii="黑体" w:hAnsi="宋体" w:eastAsia="黑体" w:cs="宋体"/>
          <w:spacing w:val="-1"/>
          <w:kern w:val="0"/>
          <w:sz w:val="32"/>
          <w:szCs w:val="32"/>
          <w:u w:val="single"/>
          <w:lang w:val="zh-CN" w:bidi="zh-CN"/>
        </w:rPr>
        <w:t>1</w:t>
      </w:r>
      <w:r>
        <w:rPr>
          <w:rFonts w:hint="eastAsia" w:ascii="黑体" w:hAnsi="宋体" w:eastAsia="黑体" w:cs="宋体"/>
          <w:spacing w:val="-1"/>
          <w:kern w:val="0"/>
          <w:sz w:val="32"/>
          <w:szCs w:val="32"/>
          <w:u w:val="single"/>
          <w:lang w:val="zh-CN" w:bidi="zh-CN"/>
        </w:rPr>
        <w:t>月1日至</w:t>
      </w:r>
      <w:r>
        <w:rPr>
          <w:rFonts w:ascii="黑体" w:hAnsi="宋体" w:eastAsia="黑体" w:cs="宋体"/>
          <w:spacing w:val="-1"/>
          <w:kern w:val="0"/>
          <w:sz w:val="32"/>
          <w:szCs w:val="32"/>
          <w:u w:val="single"/>
          <w:lang w:val="zh-CN" w:bidi="zh-CN"/>
        </w:rPr>
        <w:t>2021</w:t>
      </w:r>
      <w:r>
        <w:rPr>
          <w:rFonts w:hint="eastAsia" w:ascii="黑体" w:hAnsi="宋体" w:eastAsia="黑体" w:cs="宋体"/>
          <w:spacing w:val="-1"/>
          <w:kern w:val="0"/>
          <w:sz w:val="32"/>
          <w:szCs w:val="32"/>
          <w:u w:val="single"/>
          <w:lang w:val="zh-CN" w:bidi="zh-CN"/>
        </w:rPr>
        <w:t>年</w:t>
      </w:r>
      <w:r>
        <w:rPr>
          <w:rFonts w:ascii="黑体" w:hAnsi="宋体" w:eastAsia="黑体" w:cs="宋体"/>
          <w:spacing w:val="-1"/>
          <w:kern w:val="0"/>
          <w:sz w:val="32"/>
          <w:szCs w:val="32"/>
          <w:u w:val="single"/>
          <w:lang w:val="zh-CN" w:bidi="zh-CN"/>
        </w:rPr>
        <w:t>12</w:t>
      </w:r>
      <w:r>
        <w:rPr>
          <w:rFonts w:hint="eastAsia" w:ascii="黑体" w:hAnsi="宋体" w:eastAsia="黑体" w:cs="宋体"/>
          <w:spacing w:val="-1"/>
          <w:kern w:val="0"/>
          <w:sz w:val="32"/>
          <w:szCs w:val="32"/>
          <w:u w:val="single"/>
          <w:lang w:val="zh-CN" w:bidi="zh-CN"/>
        </w:rPr>
        <w:t>月</w:t>
      </w:r>
      <w:r>
        <w:rPr>
          <w:rFonts w:ascii="黑体" w:hAnsi="宋体" w:eastAsia="黑体" w:cs="宋体"/>
          <w:spacing w:val="-1"/>
          <w:kern w:val="0"/>
          <w:sz w:val="32"/>
          <w:szCs w:val="32"/>
          <w:u w:val="single"/>
          <w:lang w:val="zh-CN" w:bidi="zh-CN"/>
        </w:rPr>
        <w:t>31</w:t>
      </w:r>
      <w:r>
        <w:rPr>
          <w:rFonts w:hint="eastAsia" w:ascii="黑体" w:hAnsi="宋体" w:eastAsia="黑体" w:cs="宋体"/>
          <w:spacing w:val="-1"/>
          <w:kern w:val="0"/>
          <w:sz w:val="32"/>
          <w:szCs w:val="32"/>
          <w:u w:val="single"/>
          <w:lang w:val="zh-CN" w:bidi="zh-CN"/>
        </w:rPr>
        <w:t xml:space="preserve">日 </w:t>
      </w:r>
      <w:r>
        <w:rPr>
          <w:rFonts w:ascii="黑体" w:hAnsi="宋体" w:eastAsia="黑体" w:cs="宋体"/>
          <w:spacing w:val="-1"/>
          <w:kern w:val="0"/>
          <w:sz w:val="32"/>
          <w:szCs w:val="32"/>
          <w:u w:val="single"/>
          <w:lang w:val="zh-CN" w:bidi="zh-CN"/>
        </w:rPr>
        <w:t xml:space="preserve">     </w:t>
      </w:r>
    </w:p>
    <w:p>
      <w:pPr>
        <w:rPr>
          <w:rFonts w:ascii="黑体" w:hAnsi="Calibri" w:eastAsia="宋体" w:cs="Times New Roman"/>
          <w:b/>
          <w:sz w:val="20"/>
          <w:lang w:val="zh-CN"/>
        </w:rPr>
      </w:pPr>
    </w:p>
    <w:p>
      <w:pPr>
        <w:spacing w:before="4"/>
        <w:rPr>
          <w:rFonts w:ascii="黑体" w:hAnsi="Calibri" w:eastAsia="宋体" w:cs="Times New Roman"/>
          <w:b/>
          <w:sz w:val="17"/>
          <w:lang w:val="zh-CN" w:eastAsia="zh-CN"/>
        </w:rPr>
      </w:pPr>
    </w:p>
    <w:p>
      <w:pPr>
        <w:tabs>
          <w:tab w:val="left" w:pos="4125"/>
          <w:tab w:val="left" w:pos="6009"/>
        </w:tabs>
        <w:spacing w:before="56"/>
        <w:ind w:right="380"/>
        <w:jc w:val="center"/>
        <w:rPr>
          <w:rFonts w:ascii="黑体" w:hAnsi="宋体" w:eastAsia="黑体" w:cs="宋体"/>
          <w:spacing w:val="-1"/>
          <w:kern w:val="0"/>
          <w:sz w:val="32"/>
          <w:szCs w:val="32"/>
          <w:lang w:val="zh-CN" w:bidi="zh-CN"/>
        </w:rPr>
      </w:pPr>
      <w:r>
        <w:rPr>
          <w:rFonts w:hint="eastAsia" w:ascii="黑体" w:hAnsi="宋体" w:eastAsia="黑体" w:cs="宋体"/>
          <w:spacing w:val="-1"/>
          <w:kern w:val="0"/>
          <w:sz w:val="32"/>
          <w:szCs w:val="32"/>
          <w:lang w:val="zh-CN" w:bidi="zh-CN"/>
        </w:rPr>
        <w:t>评价机构：</w:t>
      </w:r>
      <w:bookmarkStart w:id="0" w:name="_Hlk99270721"/>
      <w:r>
        <w:rPr>
          <w:rFonts w:ascii="Wingdings" w:hAnsi="Wingdings" w:eastAsia="Wingdings" w:cs="Times New Roman"/>
          <w:b/>
          <w:sz w:val="32"/>
          <w:szCs w:val="32"/>
          <w:u w:val="single"/>
          <w:lang w:val="zh-CN" w:eastAsia="zh-CN"/>
        </w:rPr>
        <w:t></w:t>
      </w:r>
      <w:bookmarkEnd w:id="0"/>
      <w:r>
        <w:rPr>
          <w:rFonts w:hint="eastAsia" w:ascii="黑体" w:hAnsi="宋体" w:eastAsia="黑体" w:cs="宋体"/>
          <w:spacing w:val="-1"/>
          <w:kern w:val="0"/>
          <w:sz w:val="32"/>
          <w:szCs w:val="32"/>
          <w:u w:val="single"/>
          <w:lang w:val="zh-CN" w:bidi="zh-CN"/>
        </w:rPr>
        <w:t>第三方机构</w:t>
      </w:r>
      <w:r>
        <w:rPr>
          <w:rFonts w:hint="eastAsia" w:ascii="黑体" w:hAnsi="宋体" w:eastAsia="黑体" w:cs="宋体"/>
          <w:spacing w:val="-1"/>
          <w:kern w:val="0"/>
          <w:sz w:val="32"/>
          <w:szCs w:val="32"/>
          <w:u w:val="single"/>
          <w:lang w:val="zh-CN" w:bidi="zh-CN"/>
        </w:rPr>
        <w:tab/>
      </w:r>
      <w:r>
        <w:rPr>
          <w:rFonts w:ascii="Wingdings" w:hAnsi="Wingdings" w:eastAsia="Wingdings" w:cs="Times New Roman"/>
          <w:b/>
          <w:sz w:val="32"/>
          <w:szCs w:val="32"/>
          <w:u w:val="single"/>
          <w:lang w:val="zh-CN" w:eastAsia="zh-CN"/>
        </w:rPr>
        <w:t></w:t>
      </w:r>
      <w:r>
        <w:rPr>
          <w:rFonts w:hint="eastAsia" w:ascii="黑体" w:hAnsi="宋体" w:eastAsia="黑体" w:cs="宋体"/>
          <w:spacing w:val="-1"/>
          <w:kern w:val="0"/>
          <w:sz w:val="32"/>
          <w:szCs w:val="32"/>
          <w:u w:val="single"/>
          <w:lang w:val="zh-CN" w:bidi="zh-CN"/>
        </w:rPr>
        <w:t>专家组</w:t>
      </w:r>
      <w:r>
        <w:rPr>
          <w:rFonts w:hint="eastAsia" w:ascii="黑体" w:hAnsi="宋体" w:eastAsia="黑体" w:cs="宋体"/>
          <w:spacing w:val="-1"/>
          <w:kern w:val="0"/>
          <w:sz w:val="32"/>
          <w:szCs w:val="32"/>
          <w:u w:val="single"/>
          <w:lang w:val="zh-CN" w:bidi="zh-CN"/>
        </w:rPr>
        <w:tab/>
      </w:r>
      <w:r>
        <w:rPr>
          <w:rFonts w:ascii="Calibri" w:hAnsi="Calibri" w:eastAsia="Wingdings" w:cs="Calibri"/>
          <w:b/>
          <w:sz w:val="32"/>
          <w:szCs w:val="32"/>
          <w:u w:val="single"/>
          <w:lang w:val="zh-CN" w:eastAsia="zh-CN"/>
        </w:rPr>
        <w:t>√</w:t>
      </w:r>
      <w:r>
        <w:rPr>
          <w:rFonts w:hint="eastAsia" w:ascii="黑体" w:hAnsi="宋体" w:eastAsia="黑体" w:cs="宋体"/>
          <w:spacing w:val="-1"/>
          <w:kern w:val="0"/>
          <w:sz w:val="32"/>
          <w:szCs w:val="32"/>
          <w:u w:val="single"/>
          <w:lang w:val="zh-CN" w:bidi="zh-CN"/>
        </w:rPr>
        <w:t xml:space="preserve">部门评价组 </w:t>
      </w:r>
      <w:r>
        <w:rPr>
          <w:rFonts w:ascii="黑体" w:hAnsi="宋体" w:eastAsia="黑体" w:cs="宋体"/>
          <w:spacing w:val="-1"/>
          <w:kern w:val="0"/>
          <w:sz w:val="32"/>
          <w:szCs w:val="32"/>
          <w:u w:val="single"/>
          <w:lang w:val="zh-CN" w:bidi="zh-CN"/>
        </w:rPr>
        <w:t xml:space="preserve">  </w:t>
      </w:r>
    </w:p>
    <w:p>
      <w:pPr>
        <w:rPr>
          <w:rFonts w:ascii="黑体" w:hAnsi="Calibri" w:eastAsia="宋体" w:cs="Times New Roman"/>
          <w:b/>
          <w:sz w:val="20"/>
          <w:lang w:val="zh-CN" w:eastAsia="zh-CN"/>
        </w:rPr>
      </w:pPr>
    </w:p>
    <w:p>
      <w:pPr>
        <w:rPr>
          <w:rFonts w:ascii="黑体" w:hAnsi="Calibri" w:eastAsia="宋体" w:cs="Times New Roman"/>
          <w:b/>
          <w:sz w:val="20"/>
          <w:lang w:val="zh-CN" w:eastAsia="zh-CN"/>
        </w:rPr>
      </w:pPr>
    </w:p>
    <w:p>
      <w:pPr>
        <w:spacing w:before="10"/>
        <w:rPr>
          <w:rFonts w:ascii="黑体" w:hAnsi="Calibri" w:eastAsia="宋体" w:cs="Times New Roman"/>
          <w:b/>
          <w:sz w:val="29"/>
          <w:lang w:val="zh-CN" w:eastAsia="zh-CN"/>
        </w:rPr>
      </w:pPr>
    </w:p>
    <w:p>
      <w:pPr>
        <w:spacing w:before="10"/>
        <w:rPr>
          <w:rFonts w:ascii="黑体" w:hAnsi="Calibri" w:eastAsia="宋体" w:cs="Times New Roman"/>
          <w:b/>
          <w:sz w:val="29"/>
          <w:lang w:val="zh-CN" w:eastAsia="zh-CN"/>
        </w:rPr>
      </w:pPr>
    </w:p>
    <w:p>
      <w:pPr>
        <w:tabs>
          <w:tab w:val="left" w:pos="959"/>
          <w:tab w:val="left" w:pos="1920"/>
        </w:tabs>
        <w:autoSpaceDE w:val="0"/>
        <w:autoSpaceDN w:val="0"/>
        <w:spacing w:before="55"/>
        <w:ind w:right="238"/>
        <w:jc w:val="center"/>
        <w:rPr>
          <w:rFonts w:ascii="黑体" w:hAnsi="宋体" w:eastAsia="黑体" w:cs="宋体"/>
          <w:kern w:val="0"/>
          <w:sz w:val="32"/>
          <w:szCs w:val="32"/>
          <w:lang w:val="zh-CN" w:bidi="zh-CN"/>
        </w:rPr>
      </w:pPr>
      <w:r>
        <w:rPr>
          <w:rFonts w:hint="eastAsia" w:ascii="黑体" w:hAnsi="宋体" w:eastAsia="黑体" w:cs="宋体"/>
          <w:kern w:val="0"/>
          <w:sz w:val="32"/>
          <w:szCs w:val="32"/>
          <w:lang w:val="zh-CN" w:bidi="zh-CN"/>
        </w:rPr>
        <w:t>2</w:t>
      </w:r>
      <w:r>
        <w:rPr>
          <w:rFonts w:ascii="黑体" w:hAnsi="宋体" w:eastAsia="黑体" w:cs="宋体"/>
          <w:kern w:val="0"/>
          <w:sz w:val="32"/>
          <w:szCs w:val="32"/>
          <w:lang w:val="zh-CN" w:bidi="zh-CN"/>
        </w:rPr>
        <w:t>022</w:t>
      </w:r>
      <w:r>
        <w:rPr>
          <w:rFonts w:hint="eastAsia" w:ascii="黑体" w:hAnsi="宋体" w:eastAsia="黑体" w:cs="宋体"/>
          <w:kern w:val="0"/>
          <w:sz w:val="32"/>
          <w:szCs w:val="32"/>
          <w:lang w:val="zh-CN" w:bidi="zh-CN"/>
        </w:rPr>
        <w:t>年</w:t>
      </w:r>
      <w:r>
        <w:rPr>
          <w:rFonts w:ascii="黑体" w:hAnsi="宋体" w:eastAsia="黑体" w:cs="宋体"/>
          <w:kern w:val="0"/>
          <w:sz w:val="32"/>
          <w:szCs w:val="32"/>
          <w:lang w:val="zh-CN" w:bidi="zh-CN"/>
        </w:rPr>
        <w:t>4</w:t>
      </w:r>
      <w:r>
        <w:rPr>
          <w:rFonts w:hint="eastAsia" w:ascii="黑体" w:hAnsi="宋体" w:eastAsia="黑体" w:cs="宋体"/>
          <w:kern w:val="0"/>
          <w:sz w:val="32"/>
          <w:szCs w:val="32"/>
          <w:lang w:val="zh-CN" w:bidi="zh-CN"/>
        </w:rPr>
        <w:t>月1</w:t>
      </w:r>
      <w:r>
        <w:rPr>
          <w:rFonts w:ascii="黑体" w:hAnsi="宋体" w:eastAsia="黑体" w:cs="宋体"/>
          <w:kern w:val="0"/>
          <w:sz w:val="32"/>
          <w:szCs w:val="32"/>
          <w:lang w:val="zh-CN" w:bidi="zh-CN"/>
        </w:rPr>
        <w:t>3</w:t>
      </w:r>
      <w:r>
        <w:rPr>
          <w:rFonts w:hint="eastAsia" w:ascii="黑体" w:hAnsi="宋体" w:eastAsia="黑体" w:cs="宋体"/>
          <w:kern w:val="0"/>
          <w:sz w:val="32"/>
          <w:szCs w:val="32"/>
          <w:lang w:val="zh-CN" w:bidi="zh-CN"/>
        </w:rPr>
        <w:t>日</w:t>
      </w:r>
    </w:p>
    <w:p>
      <w:pPr>
        <w:spacing w:line="600" w:lineRule="exact"/>
        <w:ind w:firstLine="640" w:firstLineChars="200"/>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一、基本情况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（一）项目概况。包括项目背景、主要内容及实施情况、资金投入和使用情况等。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1、项目背景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为《中华人民共和国水污染防治法》在我镇的全面贯彻实施，维护良好的农村生态环境，用于义坪村何坪自然村、岭南老基自来水管网改造。</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2、主要内容及实施情况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项目主要内容：用于义坪村何坪自然村、岭南老基自来水管网改造</w:t>
      </w:r>
      <w:r>
        <w:rPr>
          <w:rFonts w:ascii="仿宋" w:hAnsi="仿宋" w:eastAsia="仿宋" w:cs="仿宋_GB2312"/>
          <w:sz w:val="32"/>
          <w:szCs w:val="32"/>
        </w:rPr>
        <w:t>，该项目实施我单位严格按照《南昌市湾里区罗亭镇政府财政项目资金管理办法》执行，项目经费的管理和使用，项目合同、验收均符合项我镇项目管理制度规定的标准、项目资金审批使用合规，不存在截留、挤占、虚列等违规情况，科学安排项目资金支出预算，尽最大努力提高财政性资金的使用效益</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3、资金投入和使用情况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021</w:t>
      </w:r>
      <w:r>
        <w:rPr>
          <w:rFonts w:hint="eastAsia" w:ascii="仿宋" w:hAnsi="仿宋" w:eastAsia="仿宋" w:cs="仿宋_GB2312"/>
          <w:sz w:val="32"/>
          <w:szCs w:val="32"/>
        </w:rPr>
        <w:t>年我镇</w:t>
      </w:r>
      <w:r>
        <w:rPr>
          <w:rFonts w:ascii="仿宋" w:hAnsi="仿宋" w:eastAsia="仿宋" w:cs="仿宋_GB2312"/>
          <w:sz w:val="32"/>
          <w:szCs w:val="32"/>
        </w:rPr>
        <w:t>2019年农村饮水安全巩固提升工程</w:t>
      </w:r>
      <w:r>
        <w:rPr>
          <w:rFonts w:hint="eastAsia" w:ascii="仿宋" w:hAnsi="仿宋" w:eastAsia="仿宋" w:cs="仿宋_GB2312"/>
          <w:sz w:val="32"/>
          <w:szCs w:val="32"/>
        </w:rPr>
        <w:t>项目全年预算</w:t>
      </w:r>
      <w:r>
        <w:rPr>
          <w:rFonts w:ascii="仿宋" w:hAnsi="仿宋" w:eastAsia="仿宋" w:cs="仿宋_GB2312"/>
          <w:sz w:val="32"/>
          <w:szCs w:val="32"/>
        </w:rPr>
        <w:t>298.5</w:t>
      </w:r>
      <w:r>
        <w:rPr>
          <w:rFonts w:hint="eastAsia" w:ascii="仿宋" w:hAnsi="仿宋" w:eastAsia="仿宋" w:cs="仿宋_GB2312"/>
          <w:sz w:val="32"/>
          <w:szCs w:val="32"/>
        </w:rPr>
        <w:t>万元，202</w:t>
      </w:r>
      <w:r>
        <w:rPr>
          <w:rFonts w:ascii="仿宋" w:hAnsi="仿宋" w:eastAsia="仿宋" w:cs="仿宋_GB2312"/>
          <w:sz w:val="32"/>
          <w:szCs w:val="32"/>
        </w:rPr>
        <w:t>1</w:t>
      </w:r>
      <w:r>
        <w:rPr>
          <w:rFonts w:hint="eastAsia" w:ascii="仿宋" w:hAnsi="仿宋" w:eastAsia="仿宋" w:cs="仿宋_GB2312"/>
          <w:sz w:val="32"/>
          <w:szCs w:val="32"/>
        </w:rPr>
        <w:t>年度实际财政拨款</w:t>
      </w:r>
      <w:r>
        <w:rPr>
          <w:rFonts w:ascii="仿宋" w:hAnsi="仿宋" w:eastAsia="仿宋" w:cs="仿宋_GB2312"/>
          <w:sz w:val="32"/>
          <w:szCs w:val="32"/>
        </w:rPr>
        <w:t>298.5</w:t>
      </w:r>
      <w:r>
        <w:rPr>
          <w:rFonts w:hint="eastAsia" w:ascii="仿宋" w:hAnsi="仿宋" w:eastAsia="仿宋" w:cs="仿宋_GB2312"/>
          <w:sz w:val="32"/>
          <w:szCs w:val="32"/>
        </w:rPr>
        <w:t>万元，截至年末实际支出</w:t>
      </w:r>
      <w:r>
        <w:rPr>
          <w:rFonts w:ascii="仿宋" w:hAnsi="仿宋" w:eastAsia="仿宋" w:cs="仿宋_GB2312"/>
          <w:sz w:val="32"/>
          <w:szCs w:val="32"/>
        </w:rPr>
        <w:t>298.5</w:t>
      </w:r>
      <w:r>
        <w:rPr>
          <w:rFonts w:hint="eastAsia" w:ascii="仿宋" w:hAnsi="仿宋" w:eastAsia="仿宋" w:cs="仿宋_GB2312"/>
          <w:sz w:val="32"/>
          <w:szCs w:val="32"/>
        </w:rPr>
        <w:t>万元，预算执行率</w:t>
      </w:r>
      <w:r>
        <w:rPr>
          <w:rFonts w:ascii="仿宋" w:hAnsi="仿宋" w:eastAsia="仿宋" w:cs="仿宋_GB2312"/>
          <w:sz w:val="32"/>
          <w:szCs w:val="32"/>
        </w:rPr>
        <w:t>100%</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（二）项目绩效目标。包括总体目标和阶段性目标。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黑体" w:hAnsi="Times New Roman" w:eastAsia="黑体" w:cs="Times New Roman"/>
          <w:sz w:val="32"/>
          <w:szCs w:val="32"/>
        </w:rPr>
        <w:t>1、总体</w:t>
      </w:r>
      <w:r>
        <w:rPr>
          <w:rFonts w:hint="eastAsia" w:ascii="仿宋" w:hAnsi="仿宋" w:eastAsia="仿宋" w:cs="仿宋_GB2312"/>
          <w:b/>
          <w:sz w:val="32"/>
          <w:szCs w:val="32"/>
        </w:rPr>
        <w:t>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bookmarkStart w:id="1" w:name="_Hlk99964431"/>
      <w:r>
        <w:rPr>
          <w:rFonts w:hint="eastAsia" w:ascii="仿宋" w:hAnsi="仿宋" w:eastAsia="仿宋" w:cs="仿宋_GB2312"/>
          <w:sz w:val="32"/>
          <w:szCs w:val="32"/>
        </w:rPr>
        <w:t>紧扣“党建统领</w:t>
      </w:r>
      <w:r>
        <w:rPr>
          <w:rFonts w:ascii="仿宋" w:hAnsi="仿宋" w:eastAsia="仿宋" w:cs="仿宋_GB2312"/>
          <w:sz w:val="32"/>
          <w:szCs w:val="32"/>
        </w:rPr>
        <w:t xml:space="preserve"> 奋力比拼 乡村振兴 样板罗亭”发展战略，大力推进生态文明建设，以贯彻实施水污染防治法规为总抓手，重视和推进水环境治理工作，努力实现了“河畅、水清、岸绿、景美”的工作目标</w:t>
      </w:r>
      <w:r>
        <w:rPr>
          <w:rFonts w:hint="eastAsia" w:ascii="仿宋" w:hAnsi="仿宋" w:eastAsia="仿宋" w:cs="仿宋_GB2312"/>
          <w:sz w:val="32"/>
          <w:szCs w:val="32"/>
        </w:rPr>
        <w:t>。</w:t>
      </w:r>
      <w:bookmarkEnd w:id="1"/>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2、阶段性目标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进一步改善我镇农村饮用水安全状况。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二、绩效评价工作开展情况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（一）绩效评价目的、对象和范围。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1、绩效评价目的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财政支出绩效评价是从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绩效评价目的为</w:t>
      </w:r>
      <w:r>
        <w:rPr>
          <w:rFonts w:ascii="仿宋" w:hAnsi="仿宋" w:eastAsia="仿宋" w:cs="仿宋_GB2312"/>
          <w:sz w:val="32"/>
          <w:szCs w:val="32"/>
        </w:rPr>
        <w:t>评价</w:t>
      </w:r>
      <w:r>
        <w:rPr>
          <w:rFonts w:hint="eastAsia" w:ascii="仿宋" w:hAnsi="仿宋" w:eastAsia="仿宋" w:cs="仿宋_GB2312"/>
          <w:sz w:val="32"/>
          <w:szCs w:val="32"/>
        </w:rPr>
        <w:t>该项目</w:t>
      </w:r>
      <w:r>
        <w:rPr>
          <w:rFonts w:ascii="仿宋" w:hAnsi="仿宋" w:eastAsia="仿宋" w:cs="仿宋_GB2312"/>
          <w:sz w:val="32"/>
          <w:szCs w:val="32"/>
        </w:rPr>
        <w:t>的经费使用</w:t>
      </w:r>
      <w:r>
        <w:rPr>
          <w:rFonts w:hint="eastAsia" w:ascii="仿宋" w:hAnsi="仿宋" w:eastAsia="仿宋" w:cs="仿宋_GB2312"/>
          <w:sz w:val="32"/>
          <w:szCs w:val="32"/>
        </w:rPr>
        <w:t>情况</w:t>
      </w:r>
      <w:r>
        <w:rPr>
          <w:rFonts w:ascii="仿宋" w:hAnsi="仿宋" w:eastAsia="仿宋" w:cs="仿宋_GB2312"/>
          <w:sz w:val="32"/>
          <w:szCs w:val="32"/>
        </w:rPr>
        <w:t>与取得的效用</w:t>
      </w:r>
      <w:r>
        <w:rPr>
          <w:rFonts w:hint="eastAsia" w:ascii="仿宋" w:hAnsi="仿宋" w:eastAsia="仿宋" w:cs="仿宋_GB2312"/>
          <w:sz w:val="32"/>
          <w:szCs w:val="32"/>
        </w:rPr>
        <w:t>，做到</w:t>
      </w:r>
      <w:r>
        <w:rPr>
          <w:rFonts w:ascii="仿宋" w:hAnsi="仿宋" w:eastAsia="仿宋" w:cs="仿宋_GB2312"/>
          <w:sz w:val="32"/>
          <w:szCs w:val="32"/>
        </w:rPr>
        <w:t>“</w:t>
      </w:r>
      <w:r>
        <w:rPr>
          <w:rFonts w:hint="eastAsia" w:ascii="仿宋" w:hAnsi="仿宋" w:eastAsia="仿宋" w:cs="仿宋_GB2312"/>
          <w:sz w:val="32"/>
          <w:szCs w:val="32"/>
        </w:rPr>
        <w:t>花钱</w:t>
      </w:r>
      <w:r>
        <w:rPr>
          <w:rFonts w:ascii="仿宋" w:hAnsi="仿宋" w:eastAsia="仿宋" w:cs="仿宋_GB2312"/>
          <w:sz w:val="32"/>
          <w:szCs w:val="32"/>
        </w:rPr>
        <w:t>必问效，无效必问责”</w:t>
      </w:r>
      <w:r>
        <w:rPr>
          <w:rFonts w:hint="eastAsia" w:ascii="仿宋" w:hAnsi="仿宋" w:eastAsia="仿宋" w:cs="仿宋_GB2312"/>
          <w:sz w:val="32"/>
          <w:szCs w:val="32"/>
        </w:rPr>
        <w:t>，强化预算支出责任，提高财政资金使用效益。通过项目评价的结果应用实施达到推进改善我镇农村饮用水安全状况。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2、对象和范围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此次绩效评价的对象是南昌市湾里区罗亭镇农村饮水安全巩固提升工程项</w:t>
      </w:r>
      <w:r>
        <w:rPr>
          <w:rFonts w:ascii="仿宋" w:hAnsi="仿宋" w:eastAsia="仿宋" w:cs="仿宋_GB2312"/>
          <w:sz w:val="32"/>
          <w:szCs w:val="32"/>
        </w:rPr>
        <w:t>目，范围包括项目决策情况、项目过程情况，项目产出情况、项目效益情况、项目满意度情况</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（二）绩效评价原则、评价指标体系（附表说明）、评价方法、评价标准等。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1、绩效评价原则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南昌市湾里区罗亭镇政府作为预算资金绩效管理责任主体，牢固树立全面实施预算绩效的理念，对项目进行绩效评价。做到依法依规、实事求是，确保数据真实、准确，内容全面、完整，严禁弄虚作假，刻意抬高分数。评价遵循科学规范、全面系统、客观公正和绩效相关的工作原则，采用目标管理评价法，对绩效评价指标体系进行综合评分，从定量和定性两方面对项目实施绩效进行评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黑体" w:hAnsi="Times New Roman" w:eastAsia="黑体" w:cs="Times New Roman"/>
          <w:sz w:val="32"/>
          <w:szCs w:val="32"/>
        </w:rPr>
        <w:t>2、绩效指标体系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根据南昌市湾里区罗亭镇政府年度工作的总体要求，参考财政部预算绩效管理共性指标体系框架，我们构建了较为完善的绩效评价指标体系，并设置了合理的评价标准，指标体系涵盖了该项目的项目决策、项目过程、项目产出、产出质量、产出效果和服务对象满意度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产出质量指标下设数量指标、质量指标、时效指标、成本指标。效益指标下设经济效益指标、社会效益指标、生态指标、可持续影响指标。满意度指标下设服务对象满意度指标。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3、绩效评价方法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根据湾里区管理局财政办项目绩效评价要求，罗亭镇政府绩效考核领导小组按照</w:t>
      </w:r>
      <w:r>
        <w:rPr>
          <w:rFonts w:ascii="仿宋" w:hAnsi="仿宋" w:eastAsia="仿宋" w:cs="仿宋_GB2312"/>
          <w:sz w:val="32"/>
          <w:szCs w:val="32"/>
        </w:rPr>
        <w:t>2021年度项目支出绩效自评表的各级指标逐一评价，如实填写各项年度指标实际完成情况，对各级指标逐一评分</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4、评价标准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评价标准的总体原则均以是否完成为主要考核评分依据。涉及具体数值的、百分率及进度安排的，按照（实际完成值/计划完成值）*分值权重进行计算评价得分。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（三）绩效评价工作过程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（1）根据《</w:t>
      </w:r>
      <w:bookmarkStart w:id="2" w:name="_Hlk71313181"/>
      <w:r>
        <w:rPr>
          <w:rFonts w:hint="eastAsia" w:ascii="仿宋" w:hAnsi="仿宋" w:eastAsia="仿宋" w:cs="仿宋_GB2312"/>
          <w:sz w:val="32"/>
          <w:szCs w:val="32"/>
        </w:rPr>
        <w:t>湾里管理局财政办</w:t>
      </w:r>
      <w:bookmarkEnd w:id="2"/>
      <w:r>
        <w:rPr>
          <w:rFonts w:hint="eastAsia" w:ascii="仿宋" w:hAnsi="仿宋" w:eastAsia="仿宋" w:cs="仿宋_GB2312"/>
          <w:sz w:val="32"/>
          <w:szCs w:val="32"/>
        </w:rPr>
        <w:t>关于开展2021年度预算绩效目标管理有关工作的通知》，成立了南昌市湾里区罗亭镇政府绩效考核领导小组，根据绩效评价依据，结合项目绩效目标，制定绩效考核工作方案。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（2）根据绩效办要求制定项目考核指标，分值设置合理，通过审查会计凭证及预决算、核对数据、勘察现场、询问查证、问卷调查等方式进行绩效自评。</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（3）分析复核评价资料、计算汇总数据、编写评价报告。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黑体" w:eastAsia="黑体" w:cs="Times New Roman"/>
          <w:sz w:val="32"/>
          <w:szCs w:val="32"/>
        </w:rPr>
        <w:t>三、综合评价情况及评价结论</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仿宋" w:hAnsi="仿宋" w:eastAsia="仿宋" w:cs="仿宋_GB2312"/>
          <w:sz w:val="32"/>
          <w:szCs w:val="32"/>
        </w:rPr>
      </w:pPr>
      <w:r>
        <w:rPr>
          <w:rFonts w:hint="eastAsia" w:ascii="仿宋" w:hAnsi="仿宋" w:eastAsia="仿宋" w:cs="仿宋"/>
          <w:color w:val="000000"/>
          <w:kern w:val="0"/>
          <w:sz w:val="32"/>
          <w:szCs w:val="32"/>
        </w:rPr>
        <w:t>202</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年，今年以来，在局党工委、管理局的坚强领导下，罗亭镇镇</w:t>
      </w:r>
      <w:r>
        <w:rPr>
          <w:rFonts w:hint="eastAsia" w:ascii="仿宋" w:hAnsi="仿宋" w:eastAsia="仿宋" w:cs="仿宋"/>
          <w:color w:val="000000"/>
          <w:kern w:val="0"/>
          <w:sz w:val="32"/>
          <w:szCs w:val="32"/>
          <w:lang w:val="en-US" w:eastAsia="zh-CN"/>
        </w:rPr>
        <w:t>以“党建统领 奋力比拼 乡村振兴 样板罗亭”为理念</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以“发展一方经济、致富一方百姓、弘扬一方正气、维护一方稳定”为己任，努力打造“商贸重镇 工业强镇 旅游新镇 文化名镇”，</w:t>
      </w:r>
      <w:r>
        <w:rPr>
          <w:rFonts w:hint="eastAsia" w:ascii="仿宋" w:hAnsi="仿宋" w:eastAsia="仿宋" w:cs="仿宋"/>
          <w:color w:val="000000"/>
          <w:kern w:val="0"/>
          <w:sz w:val="32"/>
          <w:szCs w:val="32"/>
        </w:rPr>
        <w:t>认真推动局各项重要决策部署的落实落地，全镇经济社会朝着高质量发展目标稳步迈进</w:t>
      </w:r>
      <w:r>
        <w:rPr>
          <w:rFonts w:hint="eastAsia" w:ascii="仿宋" w:hAnsi="仿宋" w:eastAsia="仿宋" w:cs="仿宋"/>
          <w:color w:val="000000"/>
          <w:kern w:val="0"/>
          <w:sz w:val="32"/>
          <w:szCs w:val="32"/>
          <w:lang w:eastAsia="zh-CN"/>
        </w:rPr>
        <w:t>。</w:t>
      </w:r>
      <w:r>
        <w:rPr>
          <w:rFonts w:hint="eastAsia" w:ascii="仿宋" w:hAnsi="仿宋" w:eastAsia="仿宋" w:cs="仿宋_GB2312"/>
          <w:sz w:val="32"/>
          <w:szCs w:val="32"/>
        </w:rPr>
        <w:t>2</w:t>
      </w:r>
      <w:r>
        <w:rPr>
          <w:rFonts w:ascii="仿宋" w:hAnsi="仿宋" w:eastAsia="仿宋" w:cs="仿宋_GB2312"/>
          <w:sz w:val="32"/>
          <w:szCs w:val="32"/>
        </w:rPr>
        <w:t>021</w:t>
      </w:r>
      <w:r>
        <w:rPr>
          <w:rFonts w:hint="eastAsia" w:ascii="仿宋" w:hAnsi="仿宋" w:eastAsia="仿宋" w:cs="仿宋_GB2312"/>
          <w:sz w:val="32"/>
          <w:szCs w:val="32"/>
        </w:rPr>
        <w:t>我镇紧紧围绕年初制定的工作目标，扎实有效开展各项工作。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经我部绩效评价小组评价，我镇</w:t>
      </w:r>
      <w:r>
        <w:rPr>
          <w:rFonts w:hint="eastAsia" w:ascii="仿宋" w:hAnsi="仿宋" w:eastAsia="仿宋" w:cs="仿宋_GB2312"/>
          <w:sz w:val="32"/>
          <w:szCs w:val="32"/>
          <w:lang w:val="en-US" w:eastAsia="zh-CN"/>
        </w:rPr>
        <w:t>2019年农村饮水安全巩固提升工程</w:t>
      </w:r>
      <w:r>
        <w:rPr>
          <w:rFonts w:hint="eastAsia" w:ascii="仿宋" w:hAnsi="仿宋" w:eastAsia="仿宋" w:cs="仿宋_GB2312"/>
          <w:sz w:val="32"/>
          <w:szCs w:val="32"/>
        </w:rPr>
        <w:t>项目评价分</w:t>
      </w:r>
      <w:r>
        <w:rPr>
          <w:rFonts w:ascii="仿宋" w:hAnsi="仿宋" w:eastAsia="仿宋" w:cs="仿宋_GB2312"/>
          <w:sz w:val="32"/>
          <w:szCs w:val="32"/>
        </w:rPr>
        <w:t>94</w:t>
      </w:r>
      <w:r>
        <w:rPr>
          <w:rFonts w:hint="eastAsia" w:ascii="仿宋" w:hAnsi="仿宋" w:eastAsia="仿宋" w:cs="仿宋_GB2312"/>
          <w:sz w:val="32"/>
          <w:szCs w:val="32"/>
        </w:rPr>
        <w:t>分，项目评价等级为“优秀”</w:t>
      </w:r>
      <w:r>
        <w:rPr>
          <w:rFonts w:hint="eastAsia" w:ascii="仿宋" w:hAnsi="仿宋" w:eastAsia="仿宋"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四、绩效评价指标分析</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（一）项目决策情况。（</w:t>
      </w:r>
      <w:r>
        <w:rPr>
          <w:rFonts w:ascii="黑体" w:hAnsi="Times New Roman" w:eastAsia="黑体" w:cs="Times New Roman"/>
          <w:sz w:val="32"/>
          <w:szCs w:val="32"/>
        </w:rPr>
        <w:t>15</w:t>
      </w:r>
      <w:r>
        <w:rPr>
          <w:rFonts w:hint="eastAsia" w:ascii="黑体" w:hAnsi="Times New Roman" w:eastAsia="黑体" w:cs="Times New Roman"/>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我单位制定了内部项目管理条例与制度，每次重大项目工作开展及项目支出都召开领导班子会议，会议由单位领导分管主持，单位全体人员参与。经评价小组分析，该项目立项依据充分、绩效目标设置合理，明确、资金预算编制科学，资金分配合理，此项扣预算科学编制没经过专家论证和风险评估扣1分，项目没有经过科学论证扣1分，此项得</w:t>
      </w:r>
      <w:r>
        <w:rPr>
          <w:rFonts w:ascii="仿宋" w:hAnsi="仿宋" w:eastAsia="仿宋" w:cs="仿宋_GB2312"/>
          <w:sz w:val="32"/>
          <w:szCs w:val="32"/>
        </w:rPr>
        <w:t>13</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（二）项目过程情况。（</w:t>
      </w:r>
      <w:r>
        <w:rPr>
          <w:rFonts w:ascii="黑体" w:hAnsi="Times New Roman" w:eastAsia="黑体" w:cs="Times New Roman"/>
          <w:sz w:val="32"/>
          <w:szCs w:val="32"/>
        </w:rPr>
        <w:t>15</w:t>
      </w:r>
      <w:r>
        <w:rPr>
          <w:rFonts w:hint="eastAsia" w:ascii="黑体" w:hAnsi="Times New Roman" w:eastAsia="黑体" w:cs="Times New Roman"/>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该项目2</w:t>
      </w:r>
      <w:r>
        <w:rPr>
          <w:rFonts w:ascii="仿宋" w:hAnsi="仿宋" w:eastAsia="仿宋" w:cs="仿宋_GB2312"/>
          <w:sz w:val="32"/>
          <w:szCs w:val="32"/>
        </w:rPr>
        <w:t>021</w:t>
      </w:r>
      <w:r>
        <w:rPr>
          <w:rFonts w:hint="eastAsia" w:ascii="仿宋" w:hAnsi="仿宋" w:eastAsia="仿宋" w:cs="仿宋_GB2312"/>
          <w:sz w:val="32"/>
          <w:szCs w:val="32"/>
        </w:rPr>
        <w:t>年资金到位率1</w:t>
      </w:r>
      <w:r>
        <w:rPr>
          <w:rFonts w:ascii="仿宋" w:hAnsi="仿宋" w:eastAsia="仿宋" w:cs="仿宋_GB2312"/>
          <w:sz w:val="32"/>
          <w:szCs w:val="32"/>
        </w:rPr>
        <w:t>00%</w:t>
      </w:r>
      <w:r>
        <w:rPr>
          <w:rFonts w:hint="eastAsia" w:ascii="仿宋" w:hAnsi="仿宋" w:eastAsia="仿宋" w:cs="仿宋_GB2312"/>
          <w:sz w:val="32"/>
          <w:szCs w:val="32"/>
        </w:rPr>
        <w:t>，执行率</w:t>
      </w:r>
      <w:r>
        <w:rPr>
          <w:rFonts w:ascii="仿宋" w:hAnsi="仿宋" w:eastAsia="仿宋" w:cs="仿宋_GB2312"/>
          <w:sz w:val="32"/>
          <w:szCs w:val="32"/>
        </w:rPr>
        <w:t>100%</w:t>
      </w:r>
      <w:r>
        <w:rPr>
          <w:rFonts w:hint="eastAsia" w:ascii="仿宋" w:hAnsi="仿宋" w:eastAsia="仿宋" w:cs="仿宋_GB2312"/>
          <w:sz w:val="32"/>
          <w:szCs w:val="32"/>
        </w:rPr>
        <w:t>，经我部绩效评价小组复评并分析，该项目管理制度健全，相关制度执行有效，资金使用合规，得分</w:t>
      </w:r>
      <w:r>
        <w:rPr>
          <w:rFonts w:ascii="仿宋" w:hAnsi="仿宋" w:eastAsia="仿宋" w:cs="仿宋_GB2312"/>
          <w:sz w:val="32"/>
          <w:szCs w:val="32"/>
        </w:rPr>
        <w:t>15</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（三）项目产出情况。（3</w:t>
      </w:r>
      <w:r>
        <w:rPr>
          <w:rFonts w:ascii="黑体" w:hAnsi="Times New Roman" w:eastAsia="黑体" w:cs="Times New Roman"/>
          <w:sz w:val="32"/>
          <w:szCs w:val="32"/>
        </w:rPr>
        <w:t>5</w:t>
      </w:r>
      <w:r>
        <w:rPr>
          <w:rFonts w:hint="eastAsia" w:ascii="黑体" w:hAnsi="Times New Roman" w:eastAsia="黑体" w:cs="Times New Roman"/>
          <w:sz w:val="32"/>
          <w:szCs w:val="32"/>
        </w:rPr>
        <w:t>分）</w:t>
      </w:r>
    </w:p>
    <w:p>
      <w:pPr>
        <w:keepNext w:val="0"/>
        <w:keepLines w:val="0"/>
        <w:pageBreakBefore w:val="0"/>
        <w:kinsoku/>
        <w:wordWrap/>
        <w:overflowPunct/>
        <w:topLinePunct w:val="0"/>
        <w:autoSpaceDE/>
        <w:autoSpaceDN/>
        <w:bidi w:val="0"/>
        <w:adjustRightInd/>
        <w:spacing w:line="560" w:lineRule="exact"/>
        <w:ind w:firstLine="301" w:firstLineChars="100"/>
        <w:jc w:val="left"/>
        <w:textAlignment w:val="auto"/>
        <w:rPr>
          <w:rFonts w:ascii="仿宋" w:hAnsi="仿宋" w:eastAsia="仿宋" w:cs="仿宋"/>
          <w:b/>
          <w:color w:val="000000"/>
          <w:kern w:val="0"/>
          <w:sz w:val="30"/>
          <w:szCs w:val="30"/>
        </w:rPr>
      </w:pPr>
      <w:r>
        <w:rPr>
          <w:rFonts w:hint="eastAsia" w:ascii="仿宋" w:hAnsi="仿宋" w:eastAsia="仿宋" w:cs="仿宋"/>
          <w:b/>
          <w:color w:val="000000"/>
          <w:kern w:val="0"/>
          <w:sz w:val="30"/>
          <w:szCs w:val="30"/>
        </w:rPr>
        <w:t>数量指标（</w:t>
      </w:r>
      <w:r>
        <w:rPr>
          <w:rFonts w:ascii="仿宋" w:hAnsi="仿宋" w:eastAsia="仿宋" w:cs="仿宋"/>
          <w:b/>
          <w:color w:val="000000"/>
          <w:kern w:val="0"/>
          <w:sz w:val="30"/>
          <w:szCs w:val="30"/>
        </w:rPr>
        <w:t>15</w:t>
      </w:r>
      <w:r>
        <w:rPr>
          <w:rFonts w:hint="eastAsia" w:ascii="仿宋" w:hAnsi="仿宋" w:eastAsia="仿宋" w:cs="仿宋"/>
          <w:b/>
          <w:color w:val="000000"/>
          <w:kern w:val="0"/>
          <w:sz w:val="30"/>
          <w:szCs w:val="30"/>
        </w:rPr>
        <w:t>分）项目产出数量的三级指标和具体分值为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bookmarkStart w:id="3" w:name="_Hlk70846942"/>
      <w:r>
        <w:rPr>
          <w:rFonts w:hint="eastAsia" w:ascii="仿宋" w:hAnsi="仿宋" w:eastAsia="仿宋" w:cs="仿宋_GB2312"/>
          <w:sz w:val="32"/>
          <w:szCs w:val="32"/>
        </w:rPr>
        <w:t>（</w:t>
      </w:r>
      <w:bookmarkStart w:id="4" w:name="_Hlk70846932"/>
      <w:r>
        <w:rPr>
          <w:rFonts w:ascii="仿宋" w:hAnsi="仿宋" w:eastAsia="仿宋" w:cs="仿宋_GB2312"/>
          <w:sz w:val="32"/>
          <w:szCs w:val="32"/>
        </w:rPr>
        <w:t>1</w:t>
      </w:r>
      <w:r>
        <w:rPr>
          <w:rFonts w:hint="eastAsia" w:ascii="仿宋" w:hAnsi="仿宋" w:eastAsia="仿宋" w:cs="仿宋_GB2312"/>
          <w:sz w:val="32"/>
          <w:szCs w:val="32"/>
        </w:rPr>
        <w:t>）完成饮水管网改造工程3处</w:t>
      </w:r>
      <w:r>
        <w:rPr>
          <w:rFonts w:ascii="仿宋" w:hAnsi="仿宋" w:eastAsia="仿宋" w:cs="仿宋_GB2312"/>
          <w:sz w:val="32"/>
          <w:szCs w:val="32"/>
        </w:rPr>
        <w:t>，评分标准为：各质量指标达到年初预计指标得满分，否则相应扣分，扣完为止。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实际值及评分情况：</w:t>
      </w:r>
      <w:r>
        <w:rPr>
          <w:rFonts w:ascii="仿宋" w:hAnsi="仿宋" w:eastAsia="仿宋" w:cs="仿宋_GB2312"/>
          <w:sz w:val="32"/>
          <w:szCs w:val="32"/>
        </w:rPr>
        <w:t>2021年，我镇对</w:t>
      </w:r>
      <w:r>
        <w:rPr>
          <w:rFonts w:hint="eastAsia" w:ascii="仿宋" w:hAnsi="仿宋" w:eastAsia="仿宋" w:cs="仿宋_GB2312"/>
          <w:sz w:val="32"/>
          <w:szCs w:val="32"/>
        </w:rPr>
        <w:t>义坪村、何坪自然村、岭南老基3个村进行了自然水管网改造工程。</w:t>
      </w:r>
      <w:bookmarkEnd w:id="3"/>
      <w:bookmarkEnd w:id="4"/>
      <w:r>
        <w:rPr>
          <w:rFonts w:hint="eastAsia" w:ascii="仿宋" w:hAnsi="仿宋" w:eastAsia="仿宋" w:cs="仿宋_GB2312"/>
          <w:sz w:val="32"/>
          <w:szCs w:val="32"/>
        </w:rPr>
        <w:t>经评价，项目绩效目标全部达标，项目产出数量指标得分</w:t>
      </w:r>
      <w:r>
        <w:rPr>
          <w:rFonts w:ascii="仿宋" w:hAnsi="仿宋" w:eastAsia="仿宋" w:cs="仿宋_GB2312"/>
          <w:sz w:val="32"/>
          <w:szCs w:val="32"/>
        </w:rPr>
        <w:t>15</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02" w:firstLineChars="200"/>
        <w:jc w:val="left"/>
        <w:textAlignment w:val="auto"/>
        <w:rPr>
          <w:rFonts w:ascii="仿宋" w:hAnsi="仿宋" w:eastAsia="仿宋" w:cs="仿宋"/>
          <w:bCs/>
          <w:color w:val="000000"/>
          <w:kern w:val="0"/>
          <w:sz w:val="30"/>
          <w:szCs w:val="30"/>
        </w:rPr>
      </w:pPr>
      <w:r>
        <w:rPr>
          <w:rFonts w:hint="eastAsia" w:ascii="仿宋" w:hAnsi="仿宋" w:eastAsia="仿宋" w:cs="仿宋"/>
          <w:b/>
          <w:color w:val="000000"/>
          <w:kern w:val="0"/>
          <w:sz w:val="30"/>
          <w:szCs w:val="30"/>
        </w:rPr>
        <w:t>质量指标（</w:t>
      </w:r>
      <w:r>
        <w:rPr>
          <w:rFonts w:ascii="仿宋" w:hAnsi="仿宋" w:eastAsia="仿宋" w:cs="仿宋"/>
          <w:b/>
          <w:color w:val="000000"/>
          <w:kern w:val="0"/>
          <w:sz w:val="30"/>
          <w:szCs w:val="30"/>
        </w:rPr>
        <w:t>15</w:t>
      </w:r>
      <w:r>
        <w:rPr>
          <w:rFonts w:hint="eastAsia" w:ascii="仿宋" w:hAnsi="仿宋" w:eastAsia="仿宋" w:cs="仿宋"/>
          <w:b/>
          <w:color w:val="000000"/>
          <w:kern w:val="0"/>
          <w:sz w:val="30"/>
          <w:szCs w:val="30"/>
        </w:rPr>
        <w:t>分）：</w:t>
      </w:r>
      <w:r>
        <w:rPr>
          <w:rFonts w:hint="eastAsia" w:ascii="仿宋" w:hAnsi="仿宋" w:eastAsia="仿宋" w:cs="仿宋"/>
          <w:bCs/>
          <w:color w:val="000000"/>
          <w:kern w:val="0"/>
          <w:sz w:val="30"/>
          <w:szCs w:val="30"/>
        </w:rPr>
        <w:t>项目产出质量的三级指标和具体分值为</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）改造工程验收合格率</w:t>
      </w:r>
      <w:r>
        <w:rPr>
          <w:rFonts w:ascii="仿宋" w:hAnsi="仿宋" w:eastAsia="仿宋" w:cs="仿宋_GB2312"/>
          <w:sz w:val="32"/>
          <w:szCs w:val="32"/>
        </w:rPr>
        <w:t>100%，评分标准为：各质量指标达到年初预计指标得满分，否则相应扣分，扣完为止。</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实际值及评分情况：</w:t>
      </w:r>
      <w:r>
        <w:rPr>
          <w:rFonts w:ascii="仿宋" w:hAnsi="仿宋" w:eastAsia="仿宋" w:cs="仿宋_GB2312"/>
          <w:sz w:val="32"/>
          <w:szCs w:val="32"/>
        </w:rPr>
        <w:t>2021年，</w:t>
      </w:r>
      <w:r>
        <w:rPr>
          <w:rFonts w:hint="eastAsia" w:ascii="仿宋" w:hAnsi="仿宋" w:eastAsia="仿宋" w:cs="仿宋_GB2312"/>
          <w:sz w:val="32"/>
          <w:szCs w:val="32"/>
        </w:rPr>
        <w:t>义坪村、何坪自然村、岭南老基自来水管网工程均验收合格。经评价，项目绩效目标全部达标，项目产出质量指标得分</w:t>
      </w:r>
      <w:r>
        <w:rPr>
          <w:rFonts w:ascii="仿宋" w:hAnsi="仿宋" w:eastAsia="仿宋" w:cs="仿宋_GB2312"/>
          <w:sz w:val="32"/>
          <w:szCs w:val="32"/>
        </w:rPr>
        <w:t>15</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02" w:firstLineChars="200"/>
        <w:textAlignment w:val="auto"/>
        <w:outlineLvl w:val="0"/>
        <w:rPr>
          <w:rFonts w:ascii="仿宋" w:hAnsi="仿宋" w:eastAsia="仿宋" w:cs="仿宋"/>
          <w:bCs/>
          <w:color w:val="000000"/>
          <w:kern w:val="0"/>
          <w:sz w:val="30"/>
          <w:szCs w:val="30"/>
        </w:rPr>
      </w:pPr>
      <w:r>
        <w:rPr>
          <w:rFonts w:hint="eastAsia" w:ascii="仿宋" w:hAnsi="仿宋" w:eastAsia="仿宋" w:cs="仿宋"/>
          <w:b/>
          <w:color w:val="000000"/>
          <w:kern w:val="0"/>
          <w:sz w:val="30"/>
          <w:szCs w:val="30"/>
        </w:rPr>
        <w:t>时效指标（</w:t>
      </w:r>
      <w:r>
        <w:rPr>
          <w:rFonts w:ascii="仿宋" w:hAnsi="仿宋" w:eastAsia="仿宋" w:cs="仿宋"/>
          <w:b/>
          <w:color w:val="000000"/>
          <w:kern w:val="0"/>
          <w:sz w:val="30"/>
          <w:szCs w:val="30"/>
        </w:rPr>
        <w:t>3</w:t>
      </w:r>
      <w:r>
        <w:rPr>
          <w:rFonts w:hint="eastAsia" w:ascii="仿宋" w:hAnsi="仿宋" w:eastAsia="仿宋" w:cs="仿宋"/>
          <w:b/>
          <w:color w:val="000000"/>
          <w:kern w:val="0"/>
          <w:sz w:val="30"/>
          <w:szCs w:val="30"/>
        </w:rPr>
        <w:t>分）</w:t>
      </w:r>
      <w:r>
        <w:rPr>
          <w:rFonts w:hint="eastAsia" w:ascii="仿宋" w:hAnsi="仿宋" w:eastAsia="仿宋" w:cs="仿宋"/>
          <w:bCs/>
          <w:color w:val="000000"/>
          <w:kern w:val="0"/>
          <w:sz w:val="30"/>
          <w:szCs w:val="30"/>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仿宋" w:hAnsi="仿宋" w:eastAsia="仿宋" w:cs="仿宋_GB2312"/>
          <w:sz w:val="32"/>
          <w:szCs w:val="32"/>
        </w:rPr>
      </w:pPr>
      <w:r>
        <w:rPr>
          <w:rFonts w:hint="eastAsia" w:ascii="仿宋" w:hAnsi="仿宋" w:eastAsia="仿宋" w:cs="仿宋_GB2312"/>
          <w:sz w:val="32"/>
          <w:szCs w:val="32"/>
        </w:rPr>
        <w:t>202</w:t>
      </w:r>
      <w:r>
        <w:rPr>
          <w:rFonts w:ascii="仿宋" w:hAnsi="仿宋" w:eastAsia="仿宋" w:cs="仿宋_GB2312"/>
          <w:sz w:val="32"/>
          <w:szCs w:val="32"/>
        </w:rPr>
        <w:t>1</w:t>
      </w:r>
      <w:r>
        <w:rPr>
          <w:rFonts w:hint="eastAsia" w:ascii="仿宋" w:hAnsi="仿宋" w:eastAsia="仿宋" w:cs="仿宋_GB2312"/>
          <w:sz w:val="32"/>
          <w:szCs w:val="32"/>
        </w:rPr>
        <w:t>年度我单位项目工作在1</w:t>
      </w:r>
      <w:r>
        <w:rPr>
          <w:rFonts w:ascii="仿宋" w:hAnsi="仿宋" w:eastAsia="仿宋" w:cs="仿宋_GB2312"/>
          <w:sz w:val="32"/>
          <w:szCs w:val="32"/>
        </w:rPr>
        <w:t>2</w:t>
      </w:r>
      <w:r>
        <w:rPr>
          <w:rFonts w:hint="eastAsia" w:ascii="仿宋" w:hAnsi="仿宋" w:eastAsia="仿宋" w:cs="仿宋_GB2312"/>
          <w:sz w:val="32"/>
          <w:szCs w:val="32"/>
        </w:rPr>
        <w:t>月3</w:t>
      </w:r>
      <w:r>
        <w:rPr>
          <w:rFonts w:ascii="仿宋" w:hAnsi="仿宋" w:eastAsia="仿宋" w:cs="仿宋_GB2312"/>
          <w:sz w:val="32"/>
          <w:szCs w:val="32"/>
        </w:rPr>
        <w:t>1</w:t>
      </w:r>
      <w:r>
        <w:rPr>
          <w:rFonts w:hint="eastAsia" w:ascii="仿宋" w:hAnsi="仿宋" w:eastAsia="仿宋" w:cs="仿宋_GB2312"/>
          <w:sz w:val="32"/>
          <w:szCs w:val="32"/>
        </w:rPr>
        <w:t>日前全部完成，得</w:t>
      </w:r>
      <w:r>
        <w:rPr>
          <w:rFonts w:ascii="仿宋" w:hAnsi="仿宋" w:eastAsia="仿宋" w:cs="仿宋_GB2312"/>
          <w:sz w:val="32"/>
          <w:szCs w:val="32"/>
        </w:rPr>
        <w:t>3</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560"/>
        <w:jc w:val="left"/>
        <w:textAlignment w:val="auto"/>
        <w:rPr>
          <w:rFonts w:ascii="仿宋" w:hAnsi="仿宋" w:eastAsia="仿宋" w:cs="仿宋"/>
          <w:b/>
          <w:color w:val="000000"/>
          <w:kern w:val="0"/>
          <w:sz w:val="30"/>
          <w:szCs w:val="30"/>
        </w:rPr>
      </w:pPr>
      <w:r>
        <w:rPr>
          <w:rFonts w:hint="eastAsia" w:ascii="仿宋" w:hAnsi="仿宋" w:eastAsia="仿宋" w:cs="仿宋"/>
          <w:b/>
          <w:color w:val="000000"/>
          <w:kern w:val="0"/>
          <w:sz w:val="30"/>
          <w:szCs w:val="30"/>
        </w:rPr>
        <w:t>成本指标（</w:t>
      </w:r>
      <w:r>
        <w:rPr>
          <w:rFonts w:ascii="仿宋" w:hAnsi="仿宋" w:eastAsia="仿宋" w:cs="仿宋"/>
          <w:b/>
          <w:color w:val="000000"/>
          <w:kern w:val="0"/>
          <w:sz w:val="30"/>
          <w:szCs w:val="30"/>
        </w:rPr>
        <w:t>2</w:t>
      </w:r>
      <w:r>
        <w:rPr>
          <w:rFonts w:hint="eastAsia" w:ascii="仿宋" w:hAnsi="仿宋" w:eastAsia="仿宋" w:cs="仿宋"/>
          <w:b/>
          <w:color w:val="000000"/>
          <w:kern w:val="0"/>
          <w:sz w:val="30"/>
          <w:szCs w:val="30"/>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实际值及评分情况：2</w:t>
      </w:r>
      <w:r>
        <w:rPr>
          <w:rFonts w:ascii="仿宋" w:hAnsi="仿宋" w:eastAsia="仿宋" w:cs="仿宋_GB2312"/>
          <w:sz w:val="32"/>
          <w:szCs w:val="32"/>
        </w:rPr>
        <w:t>021</w:t>
      </w:r>
      <w:r>
        <w:rPr>
          <w:rFonts w:hint="eastAsia" w:ascii="仿宋" w:hAnsi="仿宋" w:eastAsia="仿宋" w:cs="仿宋_GB2312"/>
          <w:sz w:val="32"/>
          <w:szCs w:val="32"/>
        </w:rPr>
        <w:t>年，该项目支出率达到</w:t>
      </w:r>
      <w:r>
        <w:rPr>
          <w:rFonts w:ascii="仿宋" w:hAnsi="仿宋" w:eastAsia="仿宋" w:cs="仿宋_GB2312"/>
          <w:sz w:val="32"/>
          <w:szCs w:val="32"/>
        </w:rPr>
        <w:t>100%</w:t>
      </w:r>
      <w:r>
        <w:rPr>
          <w:rFonts w:hint="eastAsia" w:ascii="仿宋" w:hAnsi="仿宋" w:eastAsia="仿宋" w:cs="仿宋_GB2312"/>
          <w:sz w:val="32"/>
          <w:szCs w:val="32"/>
        </w:rPr>
        <w:t>，得</w:t>
      </w:r>
      <w:r>
        <w:rPr>
          <w:rFonts w:ascii="仿宋" w:hAnsi="仿宋" w:eastAsia="仿宋" w:cs="仿宋_GB2312"/>
          <w:sz w:val="32"/>
          <w:szCs w:val="32"/>
        </w:rPr>
        <w:t>2</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（四）项目效益情况。（2</w:t>
      </w:r>
      <w:r>
        <w:rPr>
          <w:rFonts w:ascii="黑体" w:hAnsi="Times New Roman" w:eastAsia="黑体" w:cs="Times New Roman"/>
          <w:sz w:val="32"/>
          <w:szCs w:val="32"/>
        </w:rPr>
        <w:t>5</w:t>
      </w:r>
      <w:r>
        <w:rPr>
          <w:rFonts w:hint="eastAsia" w:ascii="黑体" w:hAnsi="Times New Roman" w:eastAsia="黑体" w:cs="Times New Roman"/>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依据自评表，效益情况分为社会效益指标和可持续影响指标，共计</w:t>
      </w:r>
      <w:r>
        <w:rPr>
          <w:rFonts w:ascii="仿宋" w:hAnsi="仿宋" w:eastAsia="仿宋" w:cs="仿宋_GB2312"/>
          <w:sz w:val="32"/>
          <w:szCs w:val="32"/>
        </w:rPr>
        <w:t>25</w:t>
      </w:r>
      <w:r>
        <w:rPr>
          <w:rFonts w:hint="eastAsia" w:ascii="仿宋" w:hAnsi="仿宋" w:eastAsia="仿宋" w:cs="仿宋_GB2312"/>
          <w:sz w:val="32"/>
          <w:szCs w:val="32"/>
        </w:rPr>
        <w:t>分，得分</w:t>
      </w:r>
      <w:r>
        <w:rPr>
          <w:rFonts w:ascii="仿宋" w:hAnsi="仿宋" w:eastAsia="仿宋" w:cs="仿宋_GB2312"/>
          <w:sz w:val="32"/>
          <w:szCs w:val="32"/>
        </w:rPr>
        <w:t>22</w:t>
      </w:r>
      <w:r>
        <w:rPr>
          <w:rFonts w:hint="eastAsia" w:ascii="仿宋" w:hAnsi="仿宋" w:eastAsia="仿宋" w:cs="仿宋_GB2312"/>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社会效益指标：通过该项目的开展，对改善饮用水环境效果显著，经分析评价，社会效益达到</w:t>
      </w:r>
      <w:r>
        <w:rPr>
          <w:rFonts w:ascii="仿宋" w:hAnsi="仿宋" w:eastAsia="仿宋" w:cs="仿宋_GB2312"/>
          <w:sz w:val="32"/>
          <w:szCs w:val="32"/>
        </w:rPr>
        <w:t>80%优秀以上，此项得13分。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可持续影响指标：通过该项目的开展，对保障居民健康效果显著，经分析评价，可持续效益达到</w:t>
      </w:r>
      <w:r>
        <w:rPr>
          <w:rFonts w:ascii="仿宋" w:hAnsi="仿宋" w:eastAsia="仿宋" w:cs="仿宋_GB2312"/>
          <w:sz w:val="32"/>
          <w:szCs w:val="32"/>
        </w:rPr>
        <w:t>80%优秀以上，此项得7分。</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ascii="黑体" w:hAnsi="Times New Roman" w:eastAsia="黑体" w:cs="Times New Roman"/>
          <w:sz w:val="32"/>
          <w:szCs w:val="32"/>
        </w:rPr>
      </w:pPr>
      <w:r>
        <w:rPr>
          <w:rFonts w:hint="eastAsia" w:ascii="黑体" w:hAnsi="Times New Roman" w:eastAsia="黑体" w:cs="Times New Roman"/>
          <w:sz w:val="32"/>
          <w:szCs w:val="32"/>
        </w:rPr>
        <w:t>（五）满意度情况（1</w:t>
      </w:r>
      <w:r>
        <w:rPr>
          <w:rFonts w:ascii="黑体" w:hAnsi="Times New Roman" w:eastAsia="黑体" w:cs="Times New Roman"/>
          <w:sz w:val="32"/>
          <w:szCs w:val="32"/>
        </w:rPr>
        <w:t>0</w:t>
      </w:r>
      <w:r>
        <w:rPr>
          <w:rFonts w:hint="eastAsia" w:ascii="黑体" w:hAnsi="Times New Roman" w:eastAsia="黑体" w:cs="Times New Roman"/>
          <w:sz w:val="32"/>
          <w:szCs w:val="32"/>
        </w:rPr>
        <w:t>分）</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021</w:t>
      </w:r>
      <w:r>
        <w:rPr>
          <w:rFonts w:hint="eastAsia" w:ascii="仿宋" w:hAnsi="仿宋" w:eastAsia="仿宋" w:cs="仿宋_GB2312"/>
          <w:sz w:val="32"/>
          <w:szCs w:val="32"/>
        </w:rPr>
        <w:t>年，我镇继续开展农村饮用水提升改造工作，群众满意度达到</w:t>
      </w:r>
      <w:r>
        <w:rPr>
          <w:rFonts w:ascii="仿宋" w:hAnsi="仿宋" w:eastAsia="仿宋" w:cs="仿宋_GB2312"/>
          <w:sz w:val="32"/>
          <w:szCs w:val="32"/>
        </w:rPr>
        <w:t>90%，此项得10分</w:t>
      </w:r>
      <w:r>
        <w:rPr>
          <w:rFonts w:hint="eastAsia" w:ascii="仿宋" w:hAnsi="仿宋" w:eastAsia="仿宋" w:cs="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30"/>
        <w:contextualSpacing/>
        <w:textAlignment w:val="auto"/>
        <w:rPr>
          <w:rFonts w:ascii="黑体" w:hAnsi="黑体" w:eastAsia="黑体" w:cs="宋体"/>
          <w:kern w:val="0"/>
          <w:sz w:val="32"/>
          <w:szCs w:val="32"/>
        </w:rPr>
      </w:pPr>
      <w:r>
        <w:rPr>
          <w:rFonts w:hint="eastAsia" w:ascii="黑体" w:hAnsi="黑体" w:eastAsia="黑体" w:cs="宋体"/>
          <w:kern w:val="0"/>
          <w:sz w:val="32"/>
          <w:szCs w:val="32"/>
        </w:rPr>
        <w:t>五、主要经验及做法、存在的问题及原因分析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1、主要经验及做法</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1）坚持“先规划、再行动”，以规划任务目标统领全盘工作。在项目经费实施工作开展之前，我镇就着手调查研究，从项目政策符合性、落地可行性等方面对项目进行筛选，初步确定项目经费资金项目规划实施目标。</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（2）强化前期工作，为项目实施奠定基础。加强监督管理，确保项目进度和质量，确定项目规划目标可行性。</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（3）在财务管理方面，单位资金使用过程中的拨付环节、审批程序和报销手续完整，严格按照财务管理制度进行报账，保证财务监控的有效性和可行性。</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sz w:val="32"/>
          <w:szCs w:val="32"/>
        </w:rPr>
      </w:pPr>
      <w:r>
        <w:rPr>
          <w:rFonts w:hint="eastAsia" w:ascii="黑体" w:hAnsi="Times New Roman" w:eastAsia="黑体" w:cs="Times New Roman"/>
          <w:sz w:val="32"/>
          <w:szCs w:val="32"/>
        </w:rPr>
        <w:t>2、存在的问题及原因分析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六、有关建议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加强项目的成本预算，科学的安排项目支出安排，持续提高财政项目资金的使用效益；二是进一步加强相关绩效工作人员的业务培训，把绩效管理的意义深化到现实工作中。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Times New Roman" w:eastAsia="黑体" w:cs="Times New Roman"/>
          <w:bCs/>
          <w:sz w:val="32"/>
          <w:szCs w:val="32"/>
        </w:rPr>
      </w:pPr>
      <w:r>
        <w:rPr>
          <w:rFonts w:hint="eastAsia" w:ascii="黑体" w:hAnsi="黑体" w:eastAsia="黑体" w:cs="Times New Roman"/>
          <w:sz w:val="32"/>
          <w:szCs w:val="32"/>
        </w:rPr>
        <w:t>七、其他需要说明的问题</w:t>
      </w: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r>
        <w:rPr>
          <w:rFonts w:hint="eastAsia" w:ascii="仿宋" w:hAnsi="仿宋" w:eastAsia="仿宋" w:cs="黑体"/>
          <w:kern w:val="0"/>
          <w:sz w:val="32"/>
          <w:szCs w:val="32"/>
        </w:rPr>
        <w:t>无。</w:t>
      </w: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bookmarkStart w:id="6" w:name="_GoBack"/>
      <w:bookmarkEnd w:id="6"/>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p>
      <w:pPr>
        <w:keepNext w:val="0"/>
        <w:keepLines w:val="0"/>
        <w:pageBreakBefore w:val="0"/>
        <w:kinsoku/>
        <w:wordWrap/>
        <w:overflowPunct/>
        <w:topLinePunct w:val="0"/>
        <w:autoSpaceDE/>
        <w:autoSpaceDN/>
        <w:bidi w:val="0"/>
        <w:adjustRightInd/>
        <w:spacing w:line="560" w:lineRule="exact"/>
        <w:ind w:firstLine="648"/>
        <w:textAlignment w:val="auto"/>
        <w:rPr>
          <w:rFonts w:hint="eastAsia" w:ascii="仿宋" w:hAnsi="仿宋" w:eastAsia="仿宋" w:cs="黑体"/>
          <w:kern w:val="0"/>
          <w:sz w:val="32"/>
          <w:szCs w:val="32"/>
        </w:rPr>
      </w:pPr>
    </w:p>
    <w:tbl>
      <w:tblPr>
        <w:tblStyle w:val="6"/>
        <w:tblW w:w="9638" w:type="dxa"/>
        <w:tblInd w:w="0" w:type="dxa"/>
        <w:tblLayout w:type="fixed"/>
        <w:tblCellMar>
          <w:top w:w="0" w:type="dxa"/>
          <w:left w:w="108" w:type="dxa"/>
          <w:bottom w:w="0" w:type="dxa"/>
          <w:right w:w="108" w:type="dxa"/>
        </w:tblCellMar>
      </w:tblPr>
      <w:tblGrid>
        <w:gridCol w:w="1276"/>
        <w:gridCol w:w="992"/>
        <w:gridCol w:w="1701"/>
        <w:gridCol w:w="1276"/>
        <w:gridCol w:w="3687"/>
        <w:gridCol w:w="706"/>
      </w:tblGrid>
      <w:tr>
        <w:tblPrEx>
          <w:tblLayout w:type="fixed"/>
          <w:tblCellMar>
            <w:top w:w="0" w:type="dxa"/>
            <w:left w:w="108" w:type="dxa"/>
            <w:bottom w:w="0" w:type="dxa"/>
            <w:right w:w="108" w:type="dxa"/>
          </w:tblCellMar>
        </w:tblPrEx>
        <w:trPr>
          <w:trHeight w:val="1008" w:hRule="atLeast"/>
        </w:trPr>
        <w:tc>
          <w:tcPr>
            <w:tcW w:w="9638" w:type="dxa"/>
            <w:gridSpan w:val="6"/>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44"/>
                <w:szCs w:val="44"/>
              </w:rPr>
            </w:pPr>
            <w:r>
              <w:rPr>
                <w:rFonts w:hint="eastAsia" w:ascii="仿宋" w:hAnsi="仿宋" w:eastAsia="仿宋" w:cs="宋体"/>
                <w:color w:val="000000"/>
                <w:kern w:val="0"/>
                <w:sz w:val="44"/>
                <w:szCs w:val="44"/>
              </w:rPr>
              <w:t>项目支出绩效评分表</w:t>
            </w:r>
          </w:p>
        </w:tc>
      </w:tr>
      <w:tr>
        <w:tblPrEx>
          <w:tblLayout w:type="fixed"/>
          <w:tblCellMar>
            <w:top w:w="0" w:type="dxa"/>
            <w:left w:w="108" w:type="dxa"/>
            <w:bottom w:w="0" w:type="dxa"/>
            <w:right w:w="108" w:type="dxa"/>
          </w:tblCellMar>
        </w:tblPrEx>
        <w:trPr>
          <w:trHeight w:val="660"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一级指标</w:t>
            </w:r>
          </w:p>
        </w:tc>
        <w:tc>
          <w:tcPr>
            <w:tcW w:w="992" w:type="dxa"/>
            <w:tcBorders>
              <w:top w:val="single" w:color="auto" w:sz="4" w:space="0"/>
              <w:left w:val="nil"/>
              <w:bottom w:val="nil"/>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二级指标</w:t>
            </w:r>
          </w:p>
        </w:tc>
        <w:tc>
          <w:tcPr>
            <w:tcW w:w="1701" w:type="dxa"/>
            <w:tcBorders>
              <w:top w:val="single" w:color="auto" w:sz="4" w:space="0"/>
              <w:left w:val="nil"/>
              <w:bottom w:val="nil"/>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三级指标</w:t>
            </w:r>
          </w:p>
        </w:tc>
        <w:tc>
          <w:tcPr>
            <w:tcW w:w="1276" w:type="dxa"/>
            <w:tcBorders>
              <w:top w:val="single" w:color="auto" w:sz="4" w:space="0"/>
              <w:left w:val="nil"/>
              <w:bottom w:val="nil"/>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分值权重</w:t>
            </w:r>
          </w:p>
        </w:tc>
        <w:tc>
          <w:tcPr>
            <w:tcW w:w="3687" w:type="dxa"/>
            <w:tcBorders>
              <w:top w:val="single" w:color="auto" w:sz="4" w:space="0"/>
              <w:left w:val="nil"/>
              <w:bottom w:val="nil"/>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评分标准</w:t>
            </w:r>
          </w:p>
        </w:tc>
        <w:tc>
          <w:tcPr>
            <w:tcW w:w="706" w:type="dxa"/>
            <w:tcBorders>
              <w:top w:val="single" w:color="auto" w:sz="4" w:space="0"/>
              <w:left w:val="nil"/>
              <w:bottom w:val="nil"/>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评价</w:t>
            </w:r>
            <w:r>
              <w:rPr>
                <w:rFonts w:hint="eastAsia" w:ascii="黑体" w:hAnsi="黑体" w:eastAsia="黑体" w:cs="宋体"/>
                <w:color w:val="000000"/>
                <w:kern w:val="0"/>
                <w:szCs w:val="21"/>
              </w:rPr>
              <w:br w:type="textWrapping"/>
            </w:r>
            <w:r>
              <w:rPr>
                <w:rFonts w:hint="eastAsia" w:ascii="黑体" w:hAnsi="黑体" w:eastAsia="黑体" w:cs="宋体"/>
                <w:color w:val="000000"/>
                <w:kern w:val="0"/>
                <w:szCs w:val="21"/>
              </w:rPr>
              <w:t>得分</w:t>
            </w:r>
          </w:p>
        </w:tc>
      </w:tr>
      <w:tr>
        <w:tblPrEx>
          <w:tblLayout w:type="fixed"/>
          <w:tblCellMar>
            <w:top w:w="0" w:type="dxa"/>
            <w:left w:w="108" w:type="dxa"/>
            <w:bottom w:w="0" w:type="dxa"/>
            <w:right w:w="108" w:type="dxa"/>
          </w:tblCellMar>
        </w:tblPrEx>
        <w:trPr>
          <w:trHeight w:val="1659" w:hRule="atLeast"/>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决策（1</w:t>
            </w:r>
            <w:r>
              <w:rPr>
                <w:rFonts w:ascii="黑体" w:hAnsi="黑体" w:eastAsia="黑体" w:cs="宋体"/>
                <w:color w:val="000000"/>
                <w:kern w:val="0"/>
                <w:szCs w:val="21"/>
              </w:rPr>
              <w:t>5</w:t>
            </w:r>
            <w:r>
              <w:rPr>
                <w:rFonts w:hint="eastAsia" w:ascii="黑体" w:hAnsi="黑体" w:eastAsia="黑体" w:cs="宋体"/>
                <w:color w:val="000000"/>
                <w:kern w:val="0"/>
                <w:szCs w:val="21"/>
              </w:rPr>
              <w:t>分）</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项目立项（</w:t>
            </w:r>
            <w:r>
              <w:rPr>
                <w:rFonts w:ascii="等线" w:hAnsi="等线" w:eastAsia="等线" w:cs="宋体"/>
                <w:color w:val="000000"/>
                <w:kern w:val="0"/>
                <w:sz w:val="22"/>
              </w:rPr>
              <w:t>5</w:t>
            </w:r>
            <w:r>
              <w:rPr>
                <w:rFonts w:hint="eastAsia" w:ascii="等线" w:hAnsi="等线" w:eastAsia="等线" w:cs="宋体"/>
                <w:color w:val="000000"/>
                <w:kern w:val="0"/>
                <w:sz w:val="22"/>
              </w:rPr>
              <w:t>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立项依据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充分性</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3</w:t>
            </w:r>
          </w:p>
        </w:tc>
        <w:tc>
          <w:tcPr>
            <w:tcW w:w="36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项目立项符合国家法律法规、国民经济发展规划和相关政策得</w:t>
            </w:r>
            <w:r>
              <w:rPr>
                <w:rFonts w:ascii="仿宋" w:hAnsi="仿宋" w:eastAsia="仿宋" w:cs="宋体"/>
                <w:color w:val="000000"/>
                <w:kern w:val="0"/>
                <w:sz w:val="20"/>
                <w:szCs w:val="20"/>
              </w:rPr>
              <w:t>0.6</w:t>
            </w:r>
            <w:r>
              <w:rPr>
                <w:rFonts w:hint="eastAsia" w:ascii="仿宋" w:hAnsi="仿宋" w:eastAsia="仿宋" w:cs="宋体"/>
                <w:color w:val="000000"/>
                <w:kern w:val="0"/>
                <w:sz w:val="20"/>
                <w:szCs w:val="20"/>
              </w:rPr>
              <w:t>分，项目立项符合行业发展规划和政策要求得</w:t>
            </w:r>
            <w:r>
              <w:rPr>
                <w:rFonts w:ascii="仿宋" w:hAnsi="仿宋" w:eastAsia="仿宋" w:cs="宋体"/>
                <w:color w:val="000000"/>
                <w:kern w:val="0"/>
                <w:sz w:val="20"/>
                <w:szCs w:val="20"/>
              </w:rPr>
              <w:t>0.6</w:t>
            </w:r>
            <w:r>
              <w:rPr>
                <w:rFonts w:hint="eastAsia" w:ascii="仿宋" w:hAnsi="仿宋" w:eastAsia="仿宋" w:cs="宋体"/>
                <w:color w:val="000000"/>
                <w:kern w:val="0"/>
                <w:sz w:val="20"/>
                <w:szCs w:val="20"/>
              </w:rPr>
              <w:t>分，项目立项与部门职责范围相符，属于部门履职所需得</w:t>
            </w:r>
            <w:r>
              <w:rPr>
                <w:rFonts w:ascii="仿宋" w:hAnsi="仿宋" w:eastAsia="仿宋" w:cs="宋体"/>
                <w:color w:val="000000"/>
                <w:kern w:val="0"/>
                <w:sz w:val="20"/>
                <w:szCs w:val="20"/>
              </w:rPr>
              <w:t>0.6</w:t>
            </w:r>
            <w:r>
              <w:rPr>
                <w:rFonts w:hint="eastAsia" w:ascii="仿宋" w:hAnsi="仿宋" w:eastAsia="仿宋" w:cs="宋体"/>
                <w:color w:val="000000"/>
                <w:kern w:val="0"/>
                <w:sz w:val="20"/>
                <w:szCs w:val="20"/>
              </w:rPr>
              <w:t>分，项目属于公共财政支持范围，符合中央、地方事权支出责任划分原则得</w:t>
            </w:r>
            <w:r>
              <w:rPr>
                <w:rFonts w:ascii="仿宋" w:hAnsi="仿宋" w:eastAsia="仿宋" w:cs="宋体"/>
                <w:color w:val="000000"/>
                <w:kern w:val="0"/>
                <w:sz w:val="20"/>
                <w:szCs w:val="20"/>
              </w:rPr>
              <w:t>0.6</w:t>
            </w:r>
            <w:r>
              <w:rPr>
                <w:rFonts w:hint="eastAsia" w:ascii="仿宋" w:hAnsi="仿宋" w:eastAsia="仿宋" w:cs="宋体"/>
                <w:color w:val="000000"/>
                <w:kern w:val="0"/>
                <w:sz w:val="20"/>
                <w:szCs w:val="20"/>
              </w:rPr>
              <w:t>分，项目属于公共财政支持范围，符合中央、地方事权支出责任划分原则得</w:t>
            </w:r>
            <w:r>
              <w:rPr>
                <w:rFonts w:ascii="仿宋" w:hAnsi="仿宋" w:eastAsia="仿宋" w:cs="宋体"/>
                <w:color w:val="000000"/>
                <w:kern w:val="0"/>
                <w:sz w:val="20"/>
                <w:szCs w:val="20"/>
              </w:rPr>
              <w:t>0.6</w:t>
            </w:r>
            <w:r>
              <w:rPr>
                <w:rFonts w:hint="eastAsia" w:ascii="仿宋" w:hAnsi="仿宋" w:eastAsia="仿宋" w:cs="宋体"/>
                <w:color w:val="000000"/>
                <w:kern w:val="0"/>
                <w:sz w:val="20"/>
                <w:szCs w:val="20"/>
              </w:rPr>
              <w:t>分，否则相应扣分</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948"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立项程序</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规范性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2</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项目按照规定的程序申请设立得0.5分，项目审批文件、材料符合相关要求得</w:t>
            </w:r>
            <w:r>
              <w:rPr>
                <w:rFonts w:ascii="仿宋" w:hAnsi="仿宋" w:eastAsia="仿宋" w:cs="宋体"/>
                <w:color w:val="000000"/>
                <w:kern w:val="0"/>
                <w:sz w:val="20"/>
                <w:szCs w:val="20"/>
              </w:rPr>
              <w:t>0</w:t>
            </w:r>
            <w:r>
              <w:rPr>
                <w:rFonts w:hint="eastAsia" w:ascii="仿宋" w:hAnsi="仿宋" w:eastAsia="仿宋" w:cs="宋体"/>
                <w:color w:val="000000"/>
                <w:kern w:val="0"/>
                <w:sz w:val="20"/>
                <w:szCs w:val="20"/>
              </w:rPr>
              <w:t>.5分，事前已经过必要的可行性研究、专家论证、风险评估、绩效评估、集体决策得</w:t>
            </w:r>
            <w:r>
              <w:rPr>
                <w:rFonts w:ascii="仿宋" w:hAnsi="仿宋" w:eastAsia="仿宋" w:cs="宋体"/>
                <w:color w:val="000000"/>
                <w:kern w:val="0"/>
                <w:sz w:val="20"/>
                <w:szCs w:val="20"/>
              </w:rPr>
              <w:t>1</w:t>
            </w:r>
            <w:r>
              <w:rPr>
                <w:rFonts w:hint="eastAsia" w:ascii="仿宋" w:hAnsi="仿宋" w:eastAsia="仿宋" w:cs="宋体"/>
                <w:color w:val="000000"/>
                <w:kern w:val="0"/>
                <w:sz w:val="20"/>
                <w:szCs w:val="20"/>
              </w:rPr>
              <w:t>分，不符合相应扣分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w:t>
            </w:r>
          </w:p>
        </w:tc>
      </w:tr>
      <w:tr>
        <w:tblPrEx>
          <w:tblLayout w:type="fixed"/>
          <w:tblCellMar>
            <w:top w:w="0" w:type="dxa"/>
            <w:left w:w="108" w:type="dxa"/>
            <w:bottom w:w="0" w:type="dxa"/>
            <w:right w:w="108" w:type="dxa"/>
          </w:tblCellMar>
        </w:tblPrEx>
        <w:trPr>
          <w:trHeight w:val="1284"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Cs w:val="21"/>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绩效目标（5分）</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绩效目标</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合理性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项目有绩效目标得</w:t>
            </w:r>
            <w:r>
              <w:rPr>
                <w:rFonts w:ascii="仿宋" w:hAnsi="仿宋" w:eastAsia="仿宋" w:cs="宋体"/>
                <w:color w:val="000000"/>
                <w:kern w:val="0"/>
                <w:sz w:val="20"/>
                <w:szCs w:val="20"/>
              </w:rPr>
              <w:t>1</w:t>
            </w:r>
            <w:r>
              <w:rPr>
                <w:rFonts w:hint="eastAsia" w:ascii="仿宋" w:hAnsi="仿宋" w:eastAsia="仿宋" w:cs="宋体"/>
                <w:color w:val="000000"/>
                <w:kern w:val="0"/>
                <w:sz w:val="20"/>
                <w:szCs w:val="20"/>
              </w:rPr>
              <w:t>分；项目绩效目标与实际工作内容是否具有相关性得1分；项目预期产出效益和效果是否符合正常的业绩水平得</w:t>
            </w:r>
            <w:r>
              <w:rPr>
                <w:rFonts w:ascii="仿宋" w:hAnsi="仿宋" w:eastAsia="仿宋" w:cs="宋体"/>
                <w:color w:val="000000"/>
                <w:kern w:val="0"/>
                <w:sz w:val="20"/>
                <w:szCs w:val="20"/>
              </w:rPr>
              <w:t>0.5</w:t>
            </w:r>
            <w:r>
              <w:rPr>
                <w:rFonts w:hint="eastAsia" w:ascii="仿宋" w:hAnsi="仿宋" w:eastAsia="仿宋" w:cs="宋体"/>
                <w:color w:val="000000"/>
                <w:kern w:val="0"/>
                <w:sz w:val="20"/>
                <w:szCs w:val="20"/>
              </w:rPr>
              <w:t>分；与预算确定的项目投资额或资金量相匹配得</w:t>
            </w:r>
            <w:r>
              <w:rPr>
                <w:rFonts w:ascii="仿宋" w:hAnsi="仿宋" w:eastAsia="仿宋" w:cs="宋体"/>
                <w:color w:val="000000"/>
                <w:kern w:val="0"/>
                <w:sz w:val="20"/>
                <w:szCs w:val="20"/>
              </w:rPr>
              <w:t>0.5</w:t>
            </w:r>
            <w:r>
              <w:rPr>
                <w:rFonts w:hint="eastAsia" w:ascii="仿宋" w:hAnsi="仿宋" w:eastAsia="仿宋" w:cs="宋体"/>
                <w:color w:val="000000"/>
                <w:kern w:val="0"/>
                <w:sz w:val="20"/>
                <w:szCs w:val="20"/>
              </w:rPr>
              <w:t>分；否则相应扣分。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9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明确性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2</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将项目绩效目标细化分解为具体的绩效指标得1分，通过清晰、可衡量的指标值予以体现得1分，项目目标任务数或计划数相对应，否则相应扣分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r>
      <w:tr>
        <w:tblPrEx>
          <w:tblLayout w:type="fixed"/>
          <w:tblCellMar>
            <w:top w:w="0" w:type="dxa"/>
            <w:left w:w="108" w:type="dxa"/>
            <w:bottom w:w="0" w:type="dxa"/>
            <w:right w:w="108" w:type="dxa"/>
          </w:tblCellMar>
        </w:tblPrEx>
        <w:trPr>
          <w:trHeight w:val="939"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Cs w:val="21"/>
              </w:rPr>
            </w:pPr>
          </w:p>
        </w:tc>
        <w:tc>
          <w:tcPr>
            <w:tcW w:w="992" w:type="dxa"/>
            <w:vMerge w:val="restart"/>
            <w:tcBorders>
              <w:top w:val="nil"/>
              <w:left w:val="nil"/>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p>
            <w:pPr>
              <w:widowControl/>
              <w:jc w:val="left"/>
              <w:rPr>
                <w:rFonts w:ascii="仿宋" w:hAnsi="仿宋" w:eastAsia="仿宋" w:cs="宋体"/>
                <w:color w:val="000000"/>
                <w:kern w:val="0"/>
                <w:sz w:val="20"/>
                <w:szCs w:val="20"/>
              </w:rPr>
            </w:pP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资金投入（5分）</w:t>
            </w:r>
          </w:p>
          <w:p>
            <w:pPr>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预算编制</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科学性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预算编制经过科学论证得1分，预算内容与项目内容匹配得1分，预算额度测算依据充分，按照标准编制得0.5分，预算确定的项目投资额或资金量与工作任务相匹配得0.5分，否则相应扣分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r>
      <w:tr>
        <w:tblPrEx>
          <w:tblLayout w:type="fixed"/>
          <w:tblCellMar>
            <w:top w:w="0" w:type="dxa"/>
            <w:left w:w="108" w:type="dxa"/>
            <w:bottom w:w="0" w:type="dxa"/>
            <w:right w:w="108" w:type="dxa"/>
          </w:tblCellMar>
        </w:tblPrEx>
        <w:trPr>
          <w:trHeight w:val="1059"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Cs w:val="21"/>
              </w:rPr>
            </w:pPr>
          </w:p>
        </w:tc>
        <w:tc>
          <w:tcPr>
            <w:tcW w:w="992" w:type="dxa"/>
            <w:vMerge w:val="continue"/>
            <w:tcBorders>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资金分配</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合理性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预算资金分配依据充分得1分，资金分配额度是否合理，与项目单位或地方实际相适应得1分，否则相应扣分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r>
      <w:tr>
        <w:tblPrEx>
          <w:tblLayout w:type="fixed"/>
          <w:tblCellMar>
            <w:top w:w="0" w:type="dxa"/>
            <w:left w:w="108" w:type="dxa"/>
            <w:bottom w:w="0" w:type="dxa"/>
            <w:right w:w="108" w:type="dxa"/>
          </w:tblCellMar>
        </w:tblPrEx>
        <w:trPr>
          <w:trHeight w:val="912" w:hRule="atLeast"/>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过程（1</w:t>
            </w:r>
            <w:r>
              <w:rPr>
                <w:rFonts w:ascii="等线" w:hAnsi="等线" w:eastAsia="等线" w:cs="宋体"/>
                <w:color w:val="000000"/>
                <w:kern w:val="0"/>
                <w:sz w:val="22"/>
              </w:rPr>
              <w:t>5</w:t>
            </w:r>
            <w:r>
              <w:rPr>
                <w:rFonts w:hint="eastAsia" w:ascii="等线" w:hAnsi="等线" w:eastAsia="等线" w:cs="宋体"/>
                <w:color w:val="000000"/>
                <w:kern w:val="0"/>
                <w:sz w:val="22"/>
              </w:rPr>
              <w:t>分）</w:t>
            </w:r>
          </w:p>
        </w:tc>
        <w:tc>
          <w:tcPr>
            <w:tcW w:w="992" w:type="dxa"/>
            <w:vMerge w:val="restart"/>
            <w:tcBorders>
              <w:top w:val="nil"/>
              <w:left w:val="nil"/>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资金管理（</w:t>
            </w:r>
            <w:r>
              <w:rPr>
                <w:rFonts w:ascii="仿宋" w:hAnsi="仿宋" w:eastAsia="仿宋" w:cs="宋体"/>
                <w:color w:val="000000"/>
                <w:kern w:val="0"/>
                <w:sz w:val="20"/>
                <w:szCs w:val="20"/>
              </w:rPr>
              <w:t>9</w:t>
            </w:r>
            <w:r>
              <w:rPr>
                <w:rFonts w:hint="eastAsia" w:ascii="仿宋" w:hAnsi="仿宋" w:eastAsia="仿宋" w:cs="宋体"/>
                <w:color w:val="000000"/>
                <w:kern w:val="0"/>
                <w:sz w:val="20"/>
                <w:szCs w:val="20"/>
              </w:rPr>
              <w:t>分）</w:t>
            </w: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p>
            <w:pPr>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资金到位率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资金到位率=（实际到位资金/预算资金）×100%，得分按分值权重*实际到位率计算</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759"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vMerge w:val="continue"/>
            <w:tcBorders>
              <w:left w:val="nil"/>
              <w:right w:val="single" w:color="auto" w:sz="4" w:space="0"/>
            </w:tcBorders>
            <w:shd w:val="clear" w:color="auto" w:fill="auto"/>
            <w:vAlign w:val="center"/>
          </w:tcPr>
          <w:p>
            <w:pPr>
              <w:jc w:val="left"/>
              <w:rPr>
                <w:rFonts w:ascii="仿宋" w:hAnsi="仿宋" w:eastAsia="仿宋"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预算执行率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预算执行率=（实际支出资金/实际到位资金）×100%，得分按分值权重*实际执行率计算</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138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vMerge w:val="continue"/>
            <w:tcBorders>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资金使用</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合规性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tabs>
                <w:tab w:val="left" w:pos="1968"/>
              </w:tabs>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符合国家财经法规和财务管理制度以及有关专项资金管理办法的规定得1分，资金的拨付有完整的审批程序和手续得0.5分，符合项目预算批复或合同规定的用途得0.5分，不存在截留、挤占、挪用、虚列支出等情况得1分，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96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组织实施（</w:t>
            </w:r>
            <w:r>
              <w:rPr>
                <w:rFonts w:ascii="等线" w:hAnsi="等线" w:eastAsia="等线" w:cs="宋体"/>
                <w:color w:val="000000"/>
                <w:kern w:val="0"/>
                <w:sz w:val="22"/>
              </w:rPr>
              <w:t>6</w:t>
            </w:r>
            <w:r>
              <w:rPr>
                <w:rFonts w:hint="eastAsia" w:ascii="等线" w:hAnsi="等线" w:eastAsia="等线" w:cs="宋体"/>
                <w:color w:val="000000"/>
                <w:kern w:val="0"/>
                <w:sz w:val="22"/>
              </w:rPr>
              <w:t>分）</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管理制度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健全性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spacing w:after="240"/>
              <w:ind w:left="-94" w:leftChars="-45"/>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制定或具有相应的财务和业务管理制度得1</w:t>
            </w:r>
            <w:r>
              <w:rPr>
                <w:rFonts w:ascii="仿宋" w:hAnsi="仿宋" w:eastAsia="仿宋" w:cs="宋体"/>
                <w:color w:val="000000"/>
                <w:kern w:val="0"/>
                <w:sz w:val="20"/>
                <w:szCs w:val="20"/>
              </w:rPr>
              <w:t>.5</w:t>
            </w:r>
            <w:r>
              <w:rPr>
                <w:rFonts w:hint="eastAsia" w:ascii="仿宋" w:hAnsi="仿宋" w:eastAsia="仿宋" w:cs="宋体"/>
                <w:color w:val="000000"/>
                <w:kern w:val="0"/>
                <w:sz w:val="20"/>
                <w:szCs w:val="20"/>
              </w:rPr>
              <w:t>分，财务和业务管理制度合法、合规、完整得1</w:t>
            </w:r>
            <w:r>
              <w:rPr>
                <w:rFonts w:ascii="仿宋" w:hAnsi="仿宋" w:eastAsia="仿宋" w:cs="宋体"/>
                <w:color w:val="000000"/>
                <w:kern w:val="0"/>
                <w:sz w:val="20"/>
                <w:szCs w:val="20"/>
              </w:rPr>
              <w:t>.5</w:t>
            </w:r>
            <w:r>
              <w:rPr>
                <w:rFonts w:hint="eastAsia" w:ascii="仿宋" w:hAnsi="仿宋" w:eastAsia="仿宋" w:cs="宋体"/>
                <w:color w:val="000000"/>
                <w:kern w:val="0"/>
                <w:sz w:val="20"/>
                <w:szCs w:val="20"/>
              </w:rPr>
              <w:t>分，否则相应扣分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1044"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制度执行</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有效性</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遵守相关法律法规和相关管理规定得1分，项目调整及支出调整手续完备得0.5分，项目合同书、验收报告、技术鉴定等资料齐全并及时归档得1分，项目实施的人员条件、场地设备、信息支撑等落实到位得</w:t>
            </w:r>
            <w:r>
              <w:rPr>
                <w:rFonts w:ascii="仿宋" w:hAnsi="仿宋" w:eastAsia="仿宋" w:cs="宋体"/>
                <w:color w:val="000000"/>
                <w:kern w:val="0"/>
                <w:sz w:val="20"/>
                <w:szCs w:val="20"/>
              </w:rPr>
              <w:t>0.5</w:t>
            </w:r>
            <w:r>
              <w:rPr>
                <w:rFonts w:hint="eastAsia" w:ascii="仿宋" w:hAnsi="仿宋" w:eastAsia="仿宋" w:cs="宋体"/>
                <w:color w:val="000000"/>
                <w:kern w:val="0"/>
                <w:sz w:val="20"/>
                <w:szCs w:val="20"/>
              </w:rPr>
              <w:t>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r>
      <w:tr>
        <w:tblPrEx>
          <w:tblLayout w:type="fixed"/>
          <w:tblCellMar>
            <w:top w:w="0" w:type="dxa"/>
            <w:left w:w="108" w:type="dxa"/>
            <w:bottom w:w="0" w:type="dxa"/>
            <w:right w:w="108" w:type="dxa"/>
          </w:tblCellMar>
        </w:tblPrEx>
        <w:trPr>
          <w:trHeight w:val="339" w:hRule="atLeast"/>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产出（3</w:t>
            </w:r>
            <w:r>
              <w:rPr>
                <w:rFonts w:ascii="等线" w:hAnsi="等线" w:eastAsia="等线" w:cs="宋体"/>
                <w:color w:val="000000"/>
                <w:kern w:val="0"/>
                <w:sz w:val="22"/>
              </w:rPr>
              <w:t>5</w:t>
            </w:r>
            <w:r>
              <w:rPr>
                <w:rFonts w:hint="eastAsia" w:ascii="等线" w:hAnsi="等线" w:eastAsia="等线" w:cs="宋体"/>
                <w:color w:val="000000"/>
                <w:kern w:val="0"/>
                <w:sz w:val="22"/>
              </w:rPr>
              <w:t>分）</w:t>
            </w:r>
          </w:p>
        </w:tc>
        <w:tc>
          <w:tcPr>
            <w:tcW w:w="992" w:type="dxa"/>
            <w:tcBorders>
              <w:top w:val="nil"/>
              <w:left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产出数量</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olor w:val="000000"/>
                <w:sz w:val="20"/>
                <w:szCs w:val="20"/>
              </w:rPr>
              <w:t>奖补涉及15家</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8</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评价得分=（实际完成数/计划完成数）*分值权重</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8</w:t>
            </w:r>
          </w:p>
        </w:tc>
      </w:tr>
      <w:tr>
        <w:tblPrEx>
          <w:tblLayout w:type="fixed"/>
          <w:tblCellMar>
            <w:top w:w="0" w:type="dxa"/>
            <w:left w:w="108" w:type="dxa"/>
            <w:bottom w:w="0" w:type="dxa"/>
            <w:right w:w="108" w:type="dxa"/>
          </w:tblCellMar>
        </w:tblPrEx>
        <w:trPr>
          <w:trHeight w:val="348"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tcBorders>
              <w:top w:val="single" w:color="auto" w:sz="4" w:space="0"/>
              <w:left w:val="single" w:color="auto" w:sz="4" w:space="0"/>
              <w:right w:val="single" w:color="auto" w:sz="4" w:space="0"/>
            </w:tcBorders>
            <w:shd w:val="clear" w:color="auto" w:fill="auto"/>
            <w:noWrap/>
            <w:vAlign w:val="center"/>
          </w:tcPr>
          <w:p>
            <w:pPr>
              <w:jc w:val="center"/>
              <w:rPr>
                <w:rFonts w:ascii="等线" w:hAnsi="等线" w:eastAsia="等线" w:cs="宋体"/>
                <w:color w:val="000000"/>
                <w:kern w:val="0"/>
                <w:sz w:val="22"/>
              </w:rPr>
            </w:pPr>
            <w:r>
              <w:rPr>
                <w:rFonts w:hint="eastAsia" w:ascii="等线" w:hAnsi="等线" w:eastAsia="等线" w:cs="宋体"/>
                <w:color w:val="000000"/>
                <w:kern w:val="0"/>
                <w:sz w:val="22"/>
              </w:rPr>
              <w:t>产出质量</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olor w:val="000000"/>
                <w:sz w:val="20"/>
                <w:szCs w:val="20"/>
              </w:rPr>
              <w:t>奖补手续发放规范率100%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15</w:t>
            </w:r>
          </w:p>
        </w:tc>
        <w:tc>
          <w:tcPr>
            <w:tcW w:w="3687"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评价得分</w:t>
            </w:r>
            <w:r>
              <w:rPr>
                <w:rFonts w:ascii="仿宋" w:hAnsi="仿宋" w:eastAsia="仿宋" w:cs="宋体"/>
                <w:color w:val="000000"/>
                <w:kern w:val="0"/>
                <w:sz w:val="20"/>
                <w:szCs w:val="20"/>
              </w:rPr>
              <w:t>=（实际完成数/计划完成数）*分值权重</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15</w:t>
            </w:r>
          </w:p>
        </w:tc>
      </w:tr>
      <w:tr>
        <w:tblPrEx>
          <w:tblLayout w:type="fixed"/>
          <w:tblCellMar>
            <w:top w:w="0" w:type="dxa"/>
            <w:left w:w="108" w:type="dxa"/>
            <w:bottom w:w="0" w:type="dxa"/>
            <w:right w:w="108" w:type="dxa"/>
          </w:tblCellMar>
        </w:tblPrEx>
        <w:trPr>
          <w:trHeight w:val="468"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产出时效</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工作完成及时率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完成及时性=实际完成时间-计划完成时间，每超过1个月扣1分，扣完为止</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r>
      <w:tr>
        <w:tblPrEx>
          <w:tblLayout w:type="fixed"/>
          <w:tblCellMar>
            <w:top w:w="0" w:type="dxa"/>
            <w:left w:w="108" w:type="dxa"/>
            <w:bottom w:w="0" w:type="dxa"/>
            <w:right w:w="108" w:type="dxa"/>
          </w:tblCellMar>
        </w:tblPrEx>
        <w:trPr>
          <w:trHeight w:val="564" w:hRule="atLeast"/>
        </w:trPr>
        <w:tc>
          <w:tcPr>
            <w:tcW w:w="1276" w:type="dxa"/>
            <w:vMerge w:val="continue"/>
            <w:tcBorders>
              <w:top w:val="nil"/>
              <w:left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tcBorders>
              <w:top w:val="nil"/>
              <w:left w:val="nil"/>
              <w:bottom w:val="nil"/>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产出成本</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成本控制率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成本节约率=[（计划成本-实际成本）/计划成本]×100%，得分按分值权重*实际超支率计算</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2</w:t>
            </w:r>
          </w:p>
        </w:tc>
      </w:tr>
      <w:tr>
        <w:tblPrEx>
          <w:tblLayout w:type="fixed"/>
          <w:tblCellMar>
            <w:top w:w="0" w:type="dxa"/>
            <w:left w:w="108" w:type="dxa"/>
            <w:bottom w:w="0" w:type="dxa"/>
            <w:right w:w="108" w:type="dxa"/>
          </w:tblCellMar>
        </w:tblPrEx>
        <w:trPr>
          <w:trHeight w:val="864" w:hRule="atLeast"/>
        </w:trPr>
        <w:tc>
          <w:tcPr>
            <w:tcW w:w="127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效益（2</w:t>
            </w:r>
            <w:r>
              <w:rPr>
                <w:rFonts w:ascii="等线" w:hAnsi="等线" w:eastAsia="等线" w:cs="宋体"/>
                <w:color w:val="000000"/>
                <w:kern w:val="0"/>
                <w:sz w:val="22"/>
              </w:rPr>
              <w:t>5</w:t>
            </w:r>
            <w:r>
              <w:rPr>
                <w:rFonts w:hint="eastAsia" w:ascii="等线" w:hAnsi="等线" w:eastAsia="等线" w:cs="宋体"/>
                <w:color w:val="000000"/>
                <w:kern w:val="0"/>
                <w:sz w:val="22"/>
              </w:rPr>
              <w:t>分）</w:t>
            </w:r>
          </w:p>
          <w:p>
            <w:pPr>
              <w:widowControl/>
              <w:jc w:val="center"/>
              <w:rPr>
                <w:rFonts w:ascii="等线" w:hAnsi="等线" w:eastAsia="等线" w:cs="宋体"/>
                <w:color w:val="000000"/>
                <w:kern w:val="0"/>
                <w:sz w:val="22"/>
              </w:rPr>
            </w:pPr>
          </w:p>
          <w:p>
            <w:pPr>
              <w:widowControl/>
              <w:jc w:val="center"/>
              <w:rPr>
                <w:rFonts w:ascii="等线" w:hAnsi="等线" w:eastAsia="等线" w:cs="宋体"/>
                <w:color w:val="000000"/>
                <w:kern w:val="0"/>
                <w:sz w:val="22"/>
              </w:rPr>
            </w:pPr>
          </w:p>
          <w:p>
            <w:pPr>
              <w:widowControl/>
              <w:jc w:val="center"/>
              <w:rPr>
                <w:rFonts w:ascii="等线" w:hAnsi="等线" w:eastAsia="等线" w:cs="宋体"/>
                <w:color w:val="000000"/>
                <w:kern w:val="0"/>
                <w:sz w:val="22"/>
              </w:rPr>
            </w:pP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满意度（1</w:t>
            </w:r>
            <w:r>
              <w:rPr>
                <w:rFonts w:ascii="等线" w:hAnsi="等线" w:eastAsia="等线" w:cs="宋体"/>
                <w:color w:val="000000"/>
                <w:kern w:val="0"/>
                <w:sz w:val="22"/>
              </w:rPr>
              <w:t>0</w:t>
            </w:r>
            <w:r>
              <w:rPr>
                <w:rFonts w:hint="eastAsia" w:ascii="等线" w:hAnsi="等线" w:eastAsia="等线" w:cs="宋体"/>
                <w:color w:val="000000"/>
                <w:kern w:val="0"/>
                <w:sz w:val="22"/>
              </w:rPr>
              <w:t>分）</w:t>
            </w: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社会效益</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改善饮用水环境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9</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评价得分=（实际完成率/计划完成率）*分值权重</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7</w:t>
            </w:r>
          </w:p>
        </w:tc>
      </w:tr>
      <w:tr>
        <w:tblPrEx>
          <w:tblLayout w:type="fixed"/>
          <w:tblCellMar>
            <w:top w:w="0" w:type="dxa"/>
            <w:left w:w="108" w:type="dxa"/>
            <w:bottom w:w="0" w:type="dxa"/>
            <w:right w:w="108" w:type="dxa"/>
          </w:tblCellMar>
        </w:tblPrEx>
        <w:trPr>
          <w:trHeight w:val="924" w:hRule="atLeast"/>
        </w:trPr>
        <w:tc>
          <w:tcPr>
            <w:tcW w:w="1276"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tcBorders>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可持续效益</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保障居民健康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ascii="仿宋" w:hAnsi="仿宋" w:eastAsia="仿宋" w:cs="宋体"/>
                <w:color w:val="000000"/>
                <w:kern w:val="0"/>
                <w:sz w:val="20"/>
                <w:szCs w:val="20"/>
              </w:rPr>
              <w:t>8</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评价得分=（实际完成率/计划完成率）*分值权重</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7</w:t>
            </w:r>
          </w:p>
        </w:tc>
      </w:tr>
      <w:tr>
        <w:tblPrEx>
          <w:tblLayout w:type="fixed"/>
          <w:tblCellMar>
            <w:top w:w="0" w:type="dxa"/>
            <w:left w:w="108" w:type="dxa"/>
            <w:bottom w:w="0" w:type="dxa"/>
            <w:right w:w="108" w:type="dxa"/>
          </w:tblCellMar>
        </w:tblPrEx>
        <w:trPr>
          <w:trHeight w:val="528" w:hRule="atLeast"/>
        </w:trPr>
        <w:tc>
          <w:tcPr>
            <w:tcW w:w="1276"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2"/>
              </w:rPr>
            </w:pP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满意度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群众满意度90%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36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评价得分=（实际完成率/计划完成率）*分值权重</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w:t>
            </w:r>
          </w:p>
        </w:tc>
      </w:tr>
      <w:tr>
        <w:tblPrEx>
          <w:tblLayout w:type="fixed"/>
          <w:tblCellMar>
            <w:top w:w="0" w:type="dxa"/>
            <w:left w:w="108" w:type="dxa"/>
            <w:bottom w:w="0" w:type="dxa"/>
            <w:right w:w="108" w:type="dxa"/>
          </w:tblCellMar>
        </w:tblPrEx>
        <w:trPr>
          <w:trHeight w:val="528" w:hRule="atLeast"/>
        </w:trPr>
        <w:tc>
          <w:tcPr>
            <w:tcW w:w="8932"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总分</w:t>
            </w:r>
          </w:p>
        </w:tc>
        <w:tc>
          <w:tcPr>
            <w:tcW w:w="70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w:t>
            </w:r>
            <w:r>
              <w:rPr>
                <w:rFonts w:ascii="等线" w:hAnsi="等线" w:eastAsia="等线" w:cs="宋体"/>
                <w:color w:val="000000"/>
                <w:kern w:val="0"/>
                <w:sz w:val="22"/>
              </w:rPr>
              <w:t>5</w:t>
            </w:r>
          </w:p>
        </w:tc>
      </w:tr>
      <w:tr>
        <w:tblPrEx>
          <w:tblLayout w:type="fixed"/>
          <w:tblCellMar>
            <w:top w:w="0" w:type="dxa"/>
            <w:left w:w="108" w:type="dxa"/>
            <w:bottom w:w="0" w:type="dxa"/>
            <w:right w:w="108" w:type="dxa"/>
          </w:tblCellMar>
        </w:tblPrEx>
        <w:trPr>
          <w:trHeight w:val="528" w:hRule="atLeast"/>
        </w:trPr>
        <w:tc>
          <w:tcPr>
            <w:tcW w:w="2268"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评价等级</w:t>
            </w:r>
          </w:p>
        </w:tc>
        <w:tc>
          <w:tcPr>
            <w:tcW w:w="73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xml:space="preserve">            √优       </w:t>
            </w:r>
            <w:r>
              <w:rPr>
                <w:rFonts w:ascii="等线" w:hAnsi="等线" w:eastAsia="等线" w:cs="宋体"/>
                <w:color w:val="000000"/>
                <w:kern w:val="0"/>
                <w:sz w:val="22"/>
              </w:rPr>
              <w:t xml:space="preserve"> </w:t>
            </w:r>
            <w:r>
              <w:rPr>
                <w:rFonts w:hint="eastAsia" w:ascii="等线" w:hAnsi="等线" w:eastAsia="等线" w:cs="宋体"/>
                <w:color w:val="000000"/>
                <w:kern w:val="0"/>
                <w:sz w:val="22"/>
              </w:rPr>
              <w:t xml:space="preserve"> </w:t>
            </w:r>
            <w:r>
              <w:rPr>
                <w:rFonts w:ascii="Wingdings" w:hAnsi="Wingdings" w:eastAsia="Wingdings"/>
              </w:rPr>
              <w:t></w:t>
            </w:r>
            <w:r>
              <w:rPr>
                <w:rFonts w:hint="eastAsia" w:ascii="等线" w:hAnsi="等线" w:eastAsia="等线" w:cs="宋体"/>
                <w:color w:val="000000"/>
                <w:kern w:val="0"/>
                <w:sz w:val="22"/>
              </w:rPr>
              <w:t xml:space="preserve">良       </w:t>
            </w:r>
            <w:r>
              <w:rPr>
                <w:rFonts w:ascii="Wingdings" w:hAnsi="Wingdings" w:eastAsia="Wingdings"/>
              </w:rPr>
              <w:t></w:t>
            </w:r>
            <w:r>
              <w:rPr>
                <w:rFonts w:hint="eastAsia" w:ascii="等线" w:hAnsi="等线" w:eastAsia="等线" w:cs="宋体"/>
                <w:color w:val="000000"/>
                <w:kern w:val="0"/>
                <w:sz w:val="22"/>
              </w:rPr>
              <w:t xml:space="preserve">中  </w:t>
            </w:r>
            <w:r>
              <w:rPr>
                <w:rFonts w:ascii="等线" w:hAnsi="等线" w:eastAsia="等线" w:cs="宋体"/>
                <w:color w:val="000000"/>
                <w:kern w:val="0"/>
                <w:sz w:val="22"/>
              </w:rPr>
              <w:t xml:space="preserve"> </w:t>
            </w:r>
            <w:r>
              <w:rPr>
                <w:rFonts w:hint="eastAsia" w:ascii="等线" w:hAnsi="等线" w:eastAsia="等线" w:cs="宋体"/>
                <w:color w:val="000000"/>
                <w:kern w:val="0"/>
                <w:sz w:val="22"/>
              </w:rPr>
              <w:t xml:space="preserve">    </w:t>
            </w:r>
            <w:r>
              <w:rPr>
                <w:rFonts w:ascii="Wingdings" w:hAnsi="Wingdings" w:eastAsia="Wingdings"/>
              </w:rPr>
              <w:t></w:t>
            </w:r>
            <w:r>
              <w:rPr>
                <w:rFonts w:hint="eastAsia" w:ascii="等线" w:hAnsi="等线" w:eastAsia="等线" w:cs="宋体"/>
                <w:color w:val="000000"/>
                <w:kern w:val="0"/>
                <w:sz w:val="22"/>
              </w:rPr>
              <w:t>差</w:t>
            </w:r>
          </w:p>
        </w:tc>
      </w:tr>
      <w:tr>
        <w:tblPrEx>
          <w:tblLayout w:type="fixed"/>
          <w:tblCellMar>
            <w:top w:w="0" w:type="dxa"/>
            <w:left w:w="108" w:type="dxa"/>
            <w:bottom w:w="0" w:type="dxa"/>
            <w:right w:w="108" w:type="dxa"/>
          </w:tblCellMar>
        </w:tblPrEx>
        <w:trPr>
          <w:trHeight w:val="528" w:hRule="atLeast"/>
        </w:trPr>
        <w:tc>
          <w:tcPr>
            <w:tcW w:w="226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rPr>
            </w:pPr>
          </w:p>
        </w:tc>
        <w:tc>
          <w:tcPr>
            <w:tcW w:w="73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90（含）-100 分为优、80（含）-90 分为良、60（含）-80 分为中、60 分以下为差</w:t>
            </w:r>
          </w:p>
        </w:tc>
      </w:tr>
      <w:tr>
        <w:tblPrEx>
          <w:tblLayout w:type="fixed"/>
          <w:tblCellMar>
            <w:top w:w="0" w:type="dxa"/>
            <w:left w:w="108" w:type="dxa"/>
            <w:bottom w:w="0" w:type="dxa"/>
            <w:right w:w="108" w:type="dxa"/>
          </w:tblCellMar>
        </w:tblPrEx>
        <w:trPr>
          <w:trHeight w:val="288" w:hRule="atLeast"/>
        </w:trPr>
        <w:tc>
          <w:tcPr>
            <w:tcW w:w="9638" w:type="dxa"/>
            <w:gridSpan w:val="6"/>
            <w:tcBorders>
              <w:top w:val="single" w:color="auto" w:sz="4" w:space="0"/>
              <w:left w:val="nil"/>
              <w:bottom w:val="single" w:color="auto" w:sz="4" w:space="0"/>
              <w:right w:val="nil"/>
            </w:tcBorders>
            <w:shd w:val="clear" w:color="auto" w:fill="auto"/>
            <w:noWrap/>
            <w:vAlign w:val="bottom"/>
          </w:tcPr>
          <w:p>
            <w:pPr>
              <w:widowControl/>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注：请参照《项目支出绩效评价指标体系框架》（财预〔2020〕10 号）设置相关指标。</w:t>
            </w:r>
          </w:p>
        </w:tc>
      </w:tr>
      <w:tr>
        <w:tblPrEx>
          <w:tblLayout w:type="fixed"/>
          <w:tblCellMar>
            <w:top w:w="0" w:type="dxa"/>
            <w:left w:w="108" w:type="dxa"/>
            <w:bottom w:w="0" w:type="dxa"/>
            <w:right w:w="108" w:type="dxa"/>
          </w:tblCellMar>
        </w:tblPrEx>
        <w:trPr>
          <w:trHeight w:val="288" w:hRule="atLeast"/>
        </w:trPr>
        <w:tc>
          <w:tcPr>
            <w:tcW w:w="9638" w:type="dxa"/>
            <w:gridSpan w:val="6"/>
            <w:tcBorders>
              <w:top w:val="single" w:color="auto" w:sz="4" w:space="0"/>
              <w:left w:val="nil"/>
              <w:bottom w:val="nil"/>
              <w:right w:val="nil"/>
            </w:tcBorders>
            <w:shd w:val="clear" w:color="auto" w:fill="auto"/>
            <w:noWrap/>
            <w:vAlign w:val="bottom"/>
          </w:tcPr>
          <w:p>
            <w:pPr>
              <w:widowControl/>
              <w:jc w:val="left"/>
              <w:rPr>
                <w:rFonts w:ascii="等线" w:hAnsi="等线" w:eastAsia="等线" w:cs="宋体"/>
                <w:color w:val="000000"/>
                <w:kern w:val="0"/>
                <w:sz w:val="20"/>
                <w:szCs w:val="20"/>
              </w:rPr>
            </w:pPr>
          </w:p>
        </w:tc>
      </w:tr>
    </w:tbl>
    <w:p>
      <w:pPr>
        <w:ind w:firstLine="648"/>
        <w:rPr>
          <w:rFonts w:ascii="仿宋" w:hAnsi="仿宋" w:eastAsia="仿宋" w:cs="黑体"/>
          <w:kern w:val="0"/>
          <w:sz w:val="32"/>
          <w:szCs w:val="32"/>
        </w:rPr>
      </w:pPr>
    </w:p>
    <w:p>
      <w:pPr>
        <w:rPr>
          <w:rFonts w:ascii="Times New Roman" w:hAnsi="Times New Roman" w:eastAsia="宋体" w:cs="Times New Roman"/>
          <w:b/>
          <w:szCs w:val="20"/>
        </w:rPr>
      </w:pPr>
    </w:p>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7" w:hRule="exact" w:wrap="around" w:vAnchor="text" w:hAnchor="margin" w:xAlign="outside" w:y="1"/>
      <w:rPr>
        <w:rStyle w:val="5"/>
        <w:rFonts w:ascii="宋体" w:hAnsi="宋体"/>
        <w:sz w:val="28"/>
        <w:szCs w:val="28"/>
      </w:rPr>
    </w:pPr>
    <w:bookmarkStart w:id="5" w:name="OLE_LINK2"/>
    <w:r>
      <w:rPr>
        <w:rStyle w:val="5"/>
        <w:rFonts w:hint="eastAsia" w:ascii="宋体" w:hAnsi="宋体"/>
        <w:sz w:val="28"/>
        <w:szCs w:val="28"/>
      </w:rPr>
      <w:t>─</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3</w:t>
    </w:r>
    <w:r>
      <w:rPr>
        <w:rFonts w:hint="eastAsia" w:ascii="宋体" w:hAnsi="宋体"/>
        <w:sz w:val="28"/>
        <w:szCs w:val="28"/>
      </w:rPr>
      <w:fldChar w:fldCharType="end"/>
    </w:r>
    <w:r>
      <w:rPr>
        <w:rStyle w:val="5"/>
        <w:rFonts w:hint="eastAsia" w:ascii="宋体" w:hAnsi="宋体"/>
        <w:sz w:val="28"/>
        <w:szCs w:val="28"/>
      </w:rPr>
      <w:t>─</w:t>
    </w:r>
  </w:p>
  <w:bookmarkEnd w:id="5"/>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7" w:hRule="exact" w:wrap="around" w:vAnchor="text" w:hAnchor="margin" w:xAlign="outside" w:y="1"/>
      <w:rPr>
        <w:rStyle w:val="5"/>
        <w:rFonts w:ascii="宋体" w:hAnsi="宋体"/>
        <w:sz w:val="28"/>
        <w:szCs w:val="28"/>
      </w:rPr>
    </w:pPr>
    <w:r>
      <w:rPr>
        <w:rStyle w:val="5"/>
        <w:rFonts w:hint="eastAsia" w:ascii="宋体" w:hAnsi="宋体"/>
        <w:sz w:val="28"/>
        <w:szCs w:val="28"/>
      </w:rPr>
      <w:t>─</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4</w:t>
    </w:r>
    <w:r>
      <w:rPr>
        <w:rFonts w:hint="eastAsia" w:ascii="宋体" w:hAnsi="宋体"/>
        <w:sz w:val="28"/>
        <w:szCs w:val="28"/>
      </w:rPr>
      <w:fldChar w:fldCharType="end"/>
    </w:r>
    <w:r>
      <w:rPr>
        <w:rStyle w:val="5"/>
        <w:rFonts w:hint="eastAsia" w:ascii="宋体" w:hAnsi="宋体"/>
        <w:sz w:val="28"/>
        <w:szCs w:val="28"/>
      </w:rPr>
      <w:t>─</w: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4D"/>
    <w:rsid w:val="000144DD"/>
    <w:rsid w:val="000207E1"/>
    <w:rsid w:val="00031E5E"/>
    <w:rsid w:val="00050443"/>
    <w:rsid w:val="00050C20"/>
    <w:rsid w:val="00052EC0"/>
    <w:rsid w:val="00055215"/>
    <w:rsid w:val="00085D22"/>
    <w:rsid w:val="000A2E68"/>
    <w:rsid w:val="000A501E"/>
    <w:rsid w:val="000A6C0A"/>
    <w:rsid w:val="000B6DAA"/>
    <w:rsid w:val="000B6F60"/>
    <w:rsid w:val="000C0888"/>
    <w:rsid w:val="000D04A5"/>
    <w:rsid w:val="000E32D8"/>
    <w:rsid w:val="001011E6"/>
    <w:rsid w:val="00107272"/>
    <w:rsid w:val="001332FC"/>
    <w:rsid w:val="001373BB"/>
    <w:rsid w:val="00140260"/>
    <w:rsid w:val="0014030A"/>
    <w:rsid w:val="0014216F"/>
    <w:rsid w:val="001444B4"/>
    <w:rsid w:val="00144CA2"/>
    <w:rsid w:val="00166A2E"/>
    <w:rsid w:val="00191206"/>
    <w:rsid w:val="00194F14"/>
    <w:rsid w:val="001A0846"/>
    <w:rsid w:val="001A4377"/>
    <w:rsid w:val="001B10EF"/>
    <w:rsid w:val="001F5E24"/>
    <w:rsid w:val="00214511"/>
    <w:rsid w:val="002310C0"/>
    <w:rsid w:val="00237993"/>
    <w:rsid w:val="00276B69"/>
    <w:rsid w:val="002831F1"/>
    <w:rsid w:val="00286769"/>
    <w:rsid w:val="00287A08"/>
    <w:rsid w:val="002922E0"/>
    <w:rsid w:val="00296380"/>
    <w:rsid w:val="002B3B34"/>
    <w:rsid w:val="002B4D33"/>
    <w:rsid w:val="002D49E9"/>
    <w:rsid w:val="002E00AD"/>
    <w:rsid w:val="002E46A0"/>
    <w:rsid w:val="002E52C4"/>
    <w:rsid w:val="00317DD5"/>
    <w:rsid w:val="0033086D"/>
    <w:rsid w:val="00334734"/>
    <w:rsid w:val="00334E47"/>
    <w:rsid w:val="003606DA"/>
    <w:rsid w:val="0036395A"/>
    <w:rsid w:val="00396F86"/>
    <w:rsid w:val="003A675A"/>
    <w:rsid w:val="003C43AE"/>
    <w:rsid w:val="003C6C79"/>
    <w:rsid w:val="00412040"/>
    <w:rsid w:val="0041624B"/>
    <w:rsid w:val="00421C01"/>
    <w:rsid w:val="00444F9E"/>
    <w:rsid w:val="004508B6"/>
    <w:rsid w:val="00450C39"/>
    <w:rsid w:val="004522B2"/>
    <w:rsid w:val="00462A30"/>
    <w:rsid w:val="00466F50"/>
    <w:rsid w:val="004B2C28"/>
    <w:rsid w:val="004B5A05"/>
    <w:rsid w:val="004E0EBA"/>
    <w:rsid w:val="004F41F1"/>
    <w:rsid w:val="005013D6"/>
    <w:rsid w:val="005335D3"/>
    <w:rsid w:val="005457ED"/>
    <w:rsid w:val="00583409"/>
    <w:rsid w:val="00590365"/>
    <w:rsid w:val="005B7898"/>
    <w:rsid w:val="005C6D0F"/>
    <w:rsid w:val="005D2205"/>
    <w:rsid w:val="005E1C75"/>
    <w:rsid w:val="005E6E70"/>
    <w:rsid w:val="005F152C"/>
    <w:rsid w:val="00602495"/>
    <w:rsid w:val="0061498A"/>
    <w:rsid w:val="00647CFE"/>
    <w:rsid w:val="006623DC"/>
    <w:rsid w:val="006678F7"/>
    <w:rsid w:val="006C0B31"/>
    <w:rsid w:val="006C356A"/>
    <w:rsid w:val="00701A26"/>
    <w:rsid w:val="00704E9E"/>
    <w:rsid w:val="00716271"/>
    <w:rsid w:val="00717116"/>
    <w:rsid w:val="00726831"/>
    <w:rsid w:val="00741218"/>
    <w:rsid w:val="00752B98"/>
    <w:rsid w:val="00753E8E"/>
    <w:rsid w:val="00774EE4"/>
    <w:rsid w:val="00787264"/>
    <w:rsid w:val="007876ED"/>
    <w:rsid w:val="00792857"/>
    <w:rsid w:val="00795172"/>
    <w:rsid w:val="007A0003"/>
    <w:rsid w:val="007A5FF5"/>
    <w:rsid w:val="007D4781"/>
    <w:rsid w:val="007E52D3"/>
    <w:rsid w:val="00845B9F"/>
    <w:rsid w:val="00871EC2"/>
    <w:rsid w:val="00877163"/>
    <w:rsid w:val="008778F9"/>
    <w:rsid w:val="00880F5C"/>
    <w:rsid w:val="0089154E"/>
    <w:rsid w:val="008A0893"/>
    <w:rsid w:val="008C324B"/>
    <w:rsid w:val="008D2C67"/>
    <w:rsid w:val="008E026D"/>
    <w:rsid w:val="008E0A17"/>
    <w:rsid w:val="008E1EAF"/>
    <w:rsid w:val="008E3EDD"/>
    <w:rsid w:val="00902015"/>
    <w:rsid w:val="00915014"/>
    <w:rsid w:val="009151FF"/>
    <w:rsid w:val="00927726"/>
    <w:rsid w:val="00932555"/>
    <w:rsid w:val="0094246A"/>
    <w:rsid w:val="009473F8"/>
    <w:rsid w:val="00950A17"/>
    <w:rsid w:val="00962990"/>
    <w:rsid w:val="0097178D"/>
    <w:rsid w:val="00974338"/>
    <w:rsid w:val="00997E97"/>
    <w:rsid w:val="009C56C4"/>
    <w:rsid w:val="009E4A8A"/>
    <w:rsid w:val="00A043E3"/>
    <w:rsid w:val="00A12DFA"/>
    <w:rsid w:val="00A40B12"/>
    <w:rsid w:val="00A40EB7"/>
    <w:rsid w:val="00A42014"/>
    <w:rsid w:val="00A466F2"/>
    <w:rsid w:val="00A47EA8"/>
    <w:rsid w:val="00A53E08"/>
    <w:rsid w:val="00A64641"/>
    <w:rsid w:val="00A64652"/>
    <w:rsid w:val="00A94EC8"/>
    <w:rsid w:val="00A9708F"/>
    <w:rsid w:val="00AA7A4D"/>
    <w:rsid w:val="00AC2B98"/>
    <w:rsid w:val="00AC7248"/>
    <w:rsid w:val="00AD1463"/>
    <w:rsid w:val="00AE3F68"/>
    <w:rsid w:val="00B04949"/>
    <w:rsid w:val="00B23764"/>
    <w:rsid w:val="00B23A19"/>
    <w:rsid w:val="00B37DDB"/>
    <w:rsid w:val="00B40389"/>
    <w:rsid w:val="00B40E3A"/>
    <w:rsid w:val="00B415CE"/>
    <w:rsid w:val="00B4565F"/>
    <w:rsid w:val="00B46972"/>
    <w:rsid w:val="00B575FC"/>
    <w:rsid w:val="00B609D8"/>
    <w:rsid w:val="00B62F0B"/>
    <w:rsid w:val="00B96D26"/>
    <w:rsid w:val="00BA0719"/>
    <w:rsid w:val="00BB3AF3"/>
    <w:rsid w:val="00BC494D"/>
    <w:rsid w:val="00BD24C7"/>
    <w:rsid w:val="00BF5C8A"/>
    <w:rsid w:val="00C02437"/>
    <w:rsid w:val="00C13538"/>
    <w:rsid w:val="00C31AE4"/>
    <w:rsid w:val="00C401CA"/>
    <w:rsid w:val="00C433A3"/>
    <w:rsid w:val="00C50660"/>
    <w:rsid w:val="00C67DC9"/>
    <w:rsid w:val="00C7521D"/>
    <w:rsid w:val="00CA4526"/>
    <w:rsid w:val="00CB0387"/>
    <w:rsid w:val="00CB737E"/>
    <w:rsid w:val="00CC716A"/>
    <w:rsid w:val="00CD34F1"/>
    <w:rsid w:val="00CF0D05"/>
    <w:rsid w:val="00CF5B2B"/>
    <w:rsid w:val="00D0218D"/>
    <w:rsid w:val="00D05138"/>
    <w:rsid w:val="00D17DCA"/>
    <w:rsid w:val="00D242EE"/>
    <w:rsid w:val="00D269F9"/>
    <w:rsid w:val="00D4626D"/>
    <w:rsid w:val="00D4775A"/>
    <w:rsid w:val="00D607A6"/>
    <w:rsid w:val="00D730AE"/>
    <w:rsid w:val="00D809EE"/>
    <w:rsid w:val="00DD014C"/>
    <w:rsid w:val="00DD2BB1"/>
    <w:rsid w:val="00DD30C9"/>
    <w:rsid w:val="00DE1F98"/>
    <w:rsid w:val="00DE69A9"/>
    <w:rsid w:val="00E34FCC"/>
    <w:rsid w:val="00E379C3"/>
    <w:rsid w:val="00E5705C"/>
    <w:rsid w:val="00E658CA"/>
    <w:rsid w:val="00E71E49"/>
    <w:rsid w:val="00E76EDE"/>
    <w:rsid w:val="00E775EC"/>
    <w:rsid w:val="00E804DC"/>
    <w:rsid w:val="00E90897"/>
    <w:rsid w:val="00E9106A"/>
    <w:rsid w:val="00EA0BD5"/>
    <w:rsid w:val="00EE30AC"/>
    <w:rsid w:val="00EE4A6B"/>
    <w:rsid w:val="00EE67B0"/>
    <w:rsid w:val="00EF0E1D"/>
    <w:rsid w:val="00F04304"/>
    <w:rsid w:val="00F0529D"/>
    <w:rsid w:val="00F10248"/>
    <w:rsid w:val="00F102FB"/>
    <w:rsid w:val="00F27911"/>
    <w:rsid w:val="00F41FBD"/>
    <w:rsid w:val="00F60E13"/>
    <w:rsid w:val="00F63986"/>
    <w:rsid w:val="00FD08C0"/>
    <w:rsid w:val="00FE07CE"/>
    <w:rsid w:val="00FE2682"/>
    <w:rsid w:val="0CDB2C62"/>
    <w:rsid w:val="10EC72A8"/>
    <w:rsid w:val="30F13FCD"/>
    <w:rsid w:val="6DE2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753</Words>
  <Characters>4297</Characters>
  <Lines>35</Lines>
  <Paragraphs>10</Paragraphs>
  <TotalTime>0</TotalTime>
  <ScaleCrop>false</ScaleCrop>
  <LinksUpToDate>false</LinksUpToDate>
  <CharactersWithSpaces>5040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2022-03-27T03:05:00Z</dcterms:created>
  <dc:creator>XiaZaiMa.COM</dc:creator>
  <cp:lastModifiedBy>戴尔</cp:lastModifiedBy>
  <dcterms:modified xsi:type="dcterms:W3CDTF">2022-06-24T02:36:29Z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