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ascii="宋体" w:hAnsi="宋体" w:cs="宋体"/>
          <w:b/>
          <w:bCs/>
          <w:sz w:val="44"/>
          <w:szCs w:val="36"/>
        </w:rPr>
      </w:pPr>
      <w:r>
        <w:rPr>
          <w:rFonts w:hint="eastAsia" w:ascii="宋体" w:hAnsi="宋体" w:cs="宋体"/>
          <w:b/>
          <w:bCs/>
          <w:sz w:val="44"/>
          <w:szCs w:val="36"/>
        </w:rPr>
        <w:t xml:space="preserve"> </w:t>
      </w:r>
    </w:p>
    <w:p>
      <w:pPr>
        <w:spacing w:line="600" w:lineRule="exact"/>
        <w:jc w:val="center"/>
        <w:rPr>
          <w:rFonts w:hint="eastAsia" w:ascii="宋体" w:hAnsi="宋体" w:cs="宋体"/>
          <w:b/>
          <w:bCs/>
          <w:sz w:val="44"/>
          <w:szCs w:val="36"/>
        </w:rPr>
      </w:pPr>
      <w:r>
        <w:rPr>
          <w:rFonts w:hint="eastAsia" w:ascii="宋体" w:hAnsi="宋体" w:cs="宋体"/>
          <w:b/>
          <w:bCs/>
          <w:sz w:val="44"/>
          <w:szCs w:val="36"/>
        </w:rPr>
        <w:t>湾里市场监督管理局部门2021年度部门决算</w:t>
      </w:r>
    </w:p>
    <w:p>
      <w:pPr>
        <w:spacing w:line="600" w:lineRule="exact"/>
        <w:jc w:val="center"/>
        <w:rPr>
          <w:rFonts w:hint="eastAsia" w:ascii="黑体" w:eastAsia="黑体"/>
          <w:sz w:val="44"/>
          <w:szCs w:val="36"/>
        </w:rPr>
      </w:pPr>
    </w:p>
    <w:p>
      <w:pPr>
        <w:spacing w:line="600" w:lineRule="exact"/>
        <w:jc w:val="center"/>
        <w:rPr>
          <w:rFonts w:hint="eastAsia" w:ascii="宋体" w:hAnsi="宋体" w:cs="宋体"/>
          <w:b/>
          <w:bCs/>
          <w:sz w:val="40"/>
          <w:szCs w:val="36"/>
        </w:rPr>
      </w:pPr>
      <w:r>
        <w:rPr>
          <w:rFonts w:hint="eastAsia" w:ascii="宋体" w:hAnsi="宋体" w:cs="宋体"/>
          <w:b/>
          <w:bCs/>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b w:val="0"/>
          <w:bCs w:val="0"/>
          <w:sz w:val="32"/>
          <w:szCs w:val="32"/>
        </w:rPr>
        <w:t>湾里市场监督管理局部门概况</w:t>
      </w:r>
    </w:p>
    <w:p>
      <w:pPr>
        <w:widowControl/>
        <w:spacing w:line="600" w:lineRule="exact"/>
        <w:ind w:firstLine="640"/>
        <w:jc w:val="left"/>
        <w:rPr>
          <w:rFonts w:hint="eastAsia" w:ascii="仿宋" w:hAnsi="仿宋" w:eastAsia="仿宋"/>
          <w:sz w:val="30"/>
          <w:szCs w:val="30"/>
        </w:rPr>
      </w:pPr>
      <w:r>
        <w:rPr>
          <w:rFonts w:hint="eastAsia" w:ascii="仿宋_GB2312" w:eastAsia="仿宋_GB2312"/>
          <w:b/>
          <w:sz w:val="32"/>
          <w:szCs w:val="30"/>
        </w:rPr>
        <w:t xml:space="preserve">   </w:t>
      </w:r>
      <w:r>
        <w:rPr>
          <w:rFonts w:hint="eastAsia" w:ascii="仿宋_GB2312" w:eastAsia="仿宋_GB2312"/>
          <w:b/>
          <w:sz w:val="30"/>
          <w:szCs w:val="30"/>
        </w:rPr>
        <w:t xml:space="preserve"> </w:t>
      </w:r>
      <w:r>
        <w:rPr>
          <w:rFonts w:hint="eastAsia" w:ascii="仿宋" w:hAnsi="仿宋" w:eastAsia="仿宋"/>
          <w:sz w:val="30"/>
          <w:szCs w:val="30"/>
        </w:rPr>
        <w:t>一、部门主要职责</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2021年度部门决算表</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一、收入支出决算总表</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二、收入决算表</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三、支出决算表</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四、财政拨款收入支出决算总表</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五、一般公共预算财政拨款支出决算表</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六、一般公共预算财政拨款基本支出决算表</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七、一般公共预算财政拨款“三公”经费支出决算</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表</w:t>
      </w:r>
    </w:p>
    <w:p>
      <w:pPr>
        <w:widowControl/>
        <w:numPr>
          <w:ilvl w:val="0"/>
          <w:numId w:val="1"/>
        </w:numPr>
        <w:spacing w:line="600" w:lineRule="exact"/>
        <w:jc w:val="left"/>
        <w:rPr>
          <w:rFonts w:hint="eastAsia" w:ascii="仿宋" w:hAnsi="仿宋" w:eastAsia="仿宋" w:cs="宋体"/>
          <w:kern w:val="0"/>
          <w:sz w:val="30"/>
          <w:szCs w:val="30"/>
        </w:rPr>
      </w:pPr>
      <w:r>
        <w:rPr>
          <w:rFonts w:hint="eastAsia" w:ascii="仿宋" w:hAnsi="仿宋" w:eastAsia="仿宋" w:cs="宋体"/>
          <w:kern w:val="0"/>
          <w:sz w:val="30"/>
          <w:szCs w:val="30"/>
        </w:rPr>
        <w:t>政府性基金预算财政拨款收入支出决算表</w:t>
      </w:r>
    </w:p>
    <w:p>
      <w:pPr>
        <w:widowControl/>
        <w:numPr>
          <w:ilvl w:val="0"/>
          <w:numId w:val="1"/>
        </w:numPr>
        <w:spacing w:line="600" w:lineRule="exact"/>
        <w:jc w:val="left"/>
        <w:rPr>
          <w:rFonts w:hint="eastAsia" w:ascii="仿宋" w:hAnsi="仿宋" w:eastAsia="仿宋" w:cs="宋体"/>
          <w:kern w:val="0"/>
          <w:sz w:val="30"/>
          <w:szCs w:val="30"/>
        </w:rPr>
      </w:pPr>
      <w:r>
        <w:rPr>
          <w:rFonts w:hint="eastAsia" w:ascii="仿宋" w:hAnsi="仿宋" w:eastAsia="仿宋" w:cs="宋体"/>
          <w:kern w:val="0"/>
          <w:sz w:val="30"/>
          <w:szCs w:val="30"/>
        </w:rPr>
        <w:t>国有资本经营预算财政拨款支出决算表</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十、国有资产占用情况表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2021年度部门决算情况说明</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一、收入决算情况说明</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二、支出决算情况说明</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三、财政拨款支出决算情况说明</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四、一般公共预算财政拨款基本支出决算情况说明</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五、一般公共预算财政拨款“三公”经费支出决算</w:t>
      </w:r>
    </w:p>
    <w:p>
      <w:pPr>
        <w:widowControl/>
        <w:spacing w:line="600" w:lineRule="exact"/>
        <w:jc w:val="left"/>
        <w:rPr>
          <w:rFonts w:hint="eastAsia" w:ascii="仿宋" w:hAnsi="仿宋" w:eastAsia="仿宋"/>
          <w:sz w:val="30"/>
          <w:szCs w:val="30"/>
        </w:rPr>
      </w:pPr>
      <w:r>
        <w:rPr>
          <w:rFonts w:hint="eastAsia" w:ascii="仿宋" w:hAnsi="仿宋" w:eastAsia="仿宋"/>
          <w:sz w:val="30"/>
          <w:szCs w:val="30"/>
        </w:rPr>
        <w:t xml:space="preserve">    情况说明</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六、机关运行经费支出情况说明</w:t>
      </w:r>
    </w:p>
    <w:p>
      <w:pPr>
        <w:widowControl/>
        <w:spacing w:line="600" w:lineRule="exact"/>
        <w:ind w:firstLine="640"/>
        <w:jc w:val="left"/>
        <w:rPr>
          <w:rFonts w:hint="eastAsia" w:ascii="仿宋" w:hAnsi="仿宋" w:eastAsia="仿宋"/>
          <w:sz w:val="30"/>
          <w:szCs w:val="30"/>
        </w:rPr>
      </w:pPr>
      <w:r>
        <w:rPr>
          <w:rFonts w:hint="eastAsia" w:ascii="仿宋" w:hAnsi="仿宋" w:eastAsia="仿宋"/>
          <w:sz w:val="30"/>
          <w:szCs w:val="30"/>
        </w:rPr>
        <w:t xml:space="preserve">    七、政府采购支出情况说明</w:t>
      </w:r>
    </w:p>
    <w:p>
      <w:pPr>
        <w:widowControl/>
        <w:spacing w:line="600" w:lineRule="exact"/>
        <w:ind w:firstLine="640"/>
        <w:jc w:val="left"/>
        <w:rPr>
          <w:rFonts w:hint="eastAsia" w:ascii="仿宋" w:hAnsi="仿宋" w:eastAsia="仿宋"/>
          <w:sz w:val="30"/>
          <w:szCs w:val="30"/>
        </w:rPr>
      </w:pPr>
      <w:r>
        <w:rPr>
          <w:rFonts w:hint="eastAsia" w:ascii="仿宋" w:hAnsi="仿宋" w:eastAsia="仿宋"/>
          <w:sz w:val="30"/>
          <w:szCs w:val="30"/>
        </w:rPr>
        <w:t xml:space="preserve">    八、国有资产占用情况说明</w:t>
      </w:r>
    </w:p>
    <w:p>
      <w:pPr>
        <w:widowControl/>
        <w:spacing w:line="600" w:lineRule="exact"/>
        <w:ind w:firstLine="640"/>
        <w:jc w:val="left"/>
        <w:rPr>
          <w:rFonts w:hint="eastAsia" w:ascii="仿宋" w:hAnsi="仿宋" w:eastAsia="仿宋"/>
          <w:sz w:val="30"/>
          <w:szCs w:val="30"/>
        </w:rPr>
      </w:pPr>
      <w:r>
        <w:rPr>
          <w:rFonts w:hint="eastAsia" w:ascii="仿宋" w:hAnsi="仿宋" w:eastAsia="仿宋"/>
          <w:sz w:val="30"/>
          <w:szCs w:val="30"/>
        </w:rPr>
        <w:t xml:space="preserve">    九、预算绩效情况说明</w:t>
      </w:r>
    </w:p>
    <w:p>
      <w:pPr>
        <w:widowControl/>
        <w:spacing w:line="600" w:lineRule="exact"/>
        <w:ind w:firstLine="640"/>
        <w:jc w:val="left"/>
        <w:rPr>
          <w:rFonts w:hint="eastAsia" w:ascii="宋体" w:hAnsi="宋体"/>
          <w:b/>
          <w:sz w:val="36"/>
          <w:szCs w:val="36"/>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rPr>
        <w:t>市场监督管理局部门</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（一）负责市场综合监督管理。拟订并组织实施市场监督管理有关规划，规范和维护市场秩序，营造诚实守信、公平竞争的市场环境。</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二）负责市场主体统一登记注册监督管理。负责并指导辖区内各类企业、农民专业合作社和从事经营活动的单位、个体工商户市场主体的登记注册有关监督管理工作。建立市场主体信息公示和共享机制,依法公示和共享有关信息,加强信用监管,推动市场主体信用体系建设。</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（三）建立与稽查局联动联络机制，配合做好市场监督管理相关违法违规行为查处工作。</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四）负责监督管理市场秩序。依法监督管理市场交易、网络商品交易及有关服务的行为。监管价格收费违法违规、不正当竞争、违法直销、传销、侵犯商标专利知识产权和制售假冒伪劣行为。指导广告业发展,监督管理广告活动。监管无照生产经营和相关无证生产经营行为。</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（五）负责宏观质量管理。拟订并组织实施质量发展的制度措施。统筹辖区内质量基础设施建设与应用,协助重大质量事故调查,落实缺陷产品召回制度,监督管理产品防伪工作。</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（六）负责产品质量安全监督管理。负责辖区内工业产品质量安全风险监控、监督抽查工作。落实质量分级制度、质量安全追溯制度。负责工业产品生产许可管理。负责纤维质量监督工作。</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（七）负责特种设备安全监督管理。综合管理特种设备安全监察、监督工作,监督检查高耗能特种设备节能标准和锅炉环境保护标准的执行情况。</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八）负责食品安全监督管理综合协调。拟订并组织实施食品安全综合管理政策。负责食品安全应急体系建设,组织指导重大食品安全事件应急处置和调查处理工作。建立健全食品安全重要信息直报制度。承担辖区内食品安全委员会日常工作。</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九）负责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工作。组织实施特殊食品监督管理。</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十）负责组织实施药品零售（单体）企业GSP认证工作；负责办理辖区内单独申办第二类医疗器械经营备案工作。负责流通环节药品（含中药、民族药，下同）、医疗器械和化妆品安全监督管理。负责药品、医疗器械和化妆品质量管理。监督实施药品、医疗器械经营质量管理规范，监督实施化妆品卫生标准和技术规范。负责药品、医疗器械和化妆品上市后风险管理。组织开展药品不良反应、医疗器械不良事件和化妆品不良反应的监测、评价和处置工作。依法承担药品、医疗器械和化妆品安全有关应急管理工作。负责组织实施药品零售、使用环节及医疗器械和化妆品经营、使用环节监督检查。制定检查制度，依法依事权监管药品、医疗器械和化妆品经营、使用环节违法行为，监督实施问题产品召回和处置制度。</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（十一）负责统一管理计量工作。推行法定计量单位和国家计量制度,管理计量器具及量值传递和比对工作。规范、监督商品量和市场计量行为。 </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（十二）负责统一管理标准化工作。依法协调指导和监督地方标准、团体标准、企业标准制定工作。采用国际标准工作。</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（十三）负责统一管理认证认可与检验检测工作。落实认证认可与检验检测监督管理的制度、措施，指导协调认证认可与检验检测行业发展，依法监督管理认证认可与检验检测工作。</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（十四）承担知识产权保护及专利管理相关工作。组织指导商标使用、印制行为的监督管理工作。</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（十五）负责市场监督管理科技和信息化建设、新闻宣传、交流与合作。</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（十六）负责涉及辖区内工商行政管理、食品药品监督管理、质量技术监督的各类行政审批和行政许可工作。</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（十七）完成湾里管理局党工委交办的其他任务。</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（十八）职能转变。</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纳入本套部门决算汇编范围的单位共1个，包括：市场监督管理局本级。</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本单位2021年年末实有人数</w:t>
      </w:r>
      <w:r>
        <w:rPr>
          <w:rFonts w:hint="eastAsia" w:ascii="仿宋" w:hAnsi="仿宋" w:eastAsia="仿宋" w:cs="仿宋_GB2312"/>
          <w:kern w:val="0"/>
          <w:sz w:val="30"/>
          <w:szCs w:val="30"/>
          <w:lang w:val="en-US" w:eastAsia="zh-CN"/>
        </w:rPr>
        <w:t>33</w:t>
      </w:r>
      <w:r>
        <w:rPr>
          <w:rFonts w:hint="eastAsia" w:ascii="仿宋" w:hAnsi="仿宋" w:eastAsia="仿宋" w:cs="仿宋_GB2312"/>
          <w:kern w:val="0"/>
          <w:sz w:val="30"/>
          <w:szCs w:val="30"/>
        </w:rPr>
        <w:t>人，其中在职人员</w:t>
      </w:r>
      <w:r>
        <w:rPr>
          <w:rFonts w:hint="eastAsia" w:ascii="仿宋" w:hAnsi="仿宋" w:eastAsia="仿宋" w:cs="仿宋_GB2312"/>
          <w:kern w:val="0"/>
          <w:sz w:val="30"/>
          <w:szCs w:val="30"/>
          <w:lang w:val="en-US" w:eastAsia="zh-CN"/>
        </w:rPr>
        <w:t>31</w:t>
      </w:r>
      <w:r>
        <w:rPr>
          <w:rFonts w:hint="eastAsia" w:ascii="仿宋" w:hAnsi="仿宋" w:eastAsia="仿宋" w:cs="仿宋_GB2312"/>
          <w:kern w:val="0"/>
          <w:sz w:val="30"/>
          <w:szCs w:val="30"/>
        </w:rPr>
        <w:t>人，离休人员</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人，退休人员</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 人（不含由养老保险基金发放养老金的离退休人员）；年末其他人员</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人；年末学生人数</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人；由养老保险基金发放养老金的离退休人员</w:t>
      </w:r>
      <w:r>
        <w:rPr>
          <w:rFonts w:hint="eastAsia" w:ascii="仿宋" w:hAnsi="仿宋" w:eastAsia="仿宋" w:cs="仿宋_GB2312"/>
          <w:kern w:val="0"/>
          <w:sz w:val="30"/>
          <w:szCs w:val="30"/>
          <w:lang w:val="en-US" w:eastAsia="zh-CN"/>
        </w:rPr>
        <w:t>2</w:t>
      </w:r>
      <w:r>
        <w:rPr>
          <w:rFonts w:hint="eastAsia" w:ascii="仿宋" w:hAnsi="仿宋" w:eastAsia="仿宋" w:cs="仿宋_GB2312"/>
          <w:kern w:val="0"/>
          <w:sz w:val="30"/>
          <w:szCs w:val="30"/>
        </w:rPr>
        <w:t xml:space="preserve"> 人。</w:t>
      </w:r>
    </w:p>
    <w:p>
      <w:pPr>
        <w:pStyle w:val="2"/>
        <w:rPr>
          <w:rFonts w:hint="eastAsia"/>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2021年度部门决算表</w:t>
      </w:r>
    </w:p>
    <w:p>
      <w:pPr>
        <w:widowControl/>
        <w:spacing w:line="600" w:lineRule="exact"/>
        <w:ind w:firstLine="640"/>
        <w:jc w:val="center"/>
        <w:rPr>
          <w:rFonts w:hint="eastAsia" w:ascii="宋体" w:hAnsi="宋体"/>
          <w:b/>
          <w:sz w:val="32"/>
          <w:szCs w:val="32"/>
        </w:rPr>
      </w:pPr>
    </w:p>
    <w:p>
      <w:pPr>
        <w:widowControl/>
        <w:jc w:val="center"/>
        <w:rPr>
          <w:rFonts w:hint="eastAsia"/>
        </w:rPr>
      </w:pPr>
      <w:r>
        <w:rPr>
          <w:rFonts w:hint="eastAsia"/>
        </w:rPr>
        <w:drawing>
          <wp:inline distT="0" distB="0" distL="114300" distR="114300">
            <wp:extent cx="5757545" cy="5786120"/>
            <wp:effectExtent l="0" t="0" r="14605" b="5080"/>
            <wp:docPr id="1" name="图片 24" descr="166357076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descr="1663570761460"/>
                    <pic:cNvPicPr>
                      <a:picLocks noChangeAspect="1"/>
                    </pic:cNvPicPr>
                  </pic:nvPicPr>
                  <pic:blipFill>
                    <a:blip r:embed="rId13"/>
                    <a:stretch>
                      <a:fillRect/>
                    </a:stretch>
                  </pic:blipFill>
                  <pic:spPr>
                    <a:xfrm>
                      <a:off x="0" y="0"/>
                      <a:ext cx="5757545" cy="5786120"/>
                    </a:xfrm>
                    <a:prstGeom prst="rect">
                      <a:avLst/>
                    </a:prstGeom>
                    <a:noFill/>
                    <a:ln>
                      <a:noFill/>
                    </a:ln>
                  </pic:spPr>
                </pic:pic>
              </a:graphicData>
            </a:graphic>
          </wp:inline>
        </w:drawing>
      </w:r>
    </w:p>
    <w:p>
      <w:pPr>
        <w:widowControl/>
        <w:jc w:val="center"/>
      </w:pPr>
    </w:p>
    <w:p>
      <w:pPr>
        <w:widowControl/>
        <w:jc w:val="center"/>
      </w:pPr>
    </w:p>
    <w:p>
      <w:pPr>
        <w:widowControl/>
        <w:jc w:val="center"/>
      </w:pPr>
    </w:p>
    <w:p>
      <w:pPr>
        <w:widowControl/>
        <w:jc w:val="center"/>
      </w:pPr>
    </w:p>
    <w:p>
      <w:pPr>
        <w:widowControl/>
      </w:pPr>
    </w:p>
    <w:p>
      <w:pPr>
        <w:widowControl/>
        <w:rPr>
          <w:rFonts w:hint="eastAsia"/>
        </w:rPr>
      </w:pPr>
      <w:r>
        <w:rPr>
          <w:rFonts w:hint="eastAsia"/>
        </w:rPr>
        <w:drawing>
          <wp:inline distT="0" distB="0" distL="114300" distR="114300">
            <wp:extent cx="5756910" cy="2828290"/>
            <wp:effectExtent l="0" t="0" r="15240" b="10160"/>
            <wp:docPr id="2" name="图片 25" descr="166357082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descr="1663570825650"/>
                    <pic:cNvPicPr>
                      <a:picLocks noChangeAspect="1"/>
                    </pic:cNvPicPr>
                  </pic:nvPicPr>
                  <pic:blipFill>
                    <a:blip r:embed="rId14"/>
                    <a:stretch>
                      <a:fillRect/>
                    </a:stretch>
                  </pic:blipFill>
                  <pic:spPr>
                    <a:xfrm>
                      <a:off x="0" y="0"/>
                      <a:ext cx="5756910" cy="2828290"/>
                    </a:xfrm>
                    <a:prstGeom prst="rect">
                      <a:avLst/>
                    </a:prstGeom>
                    <a:noFill/>
                    <a:ln>
                      <a:noFill/>
                    </a:ln>
                  </pic:spPr>
                </pic:pic>
              </a:graphicData>
            </a:graphic>
          </wp:inline>
        </w:drawing>
      </w:r>
    </w:p>
    <w:p>
      <w:pPr>
        <w:widowControl/>
        <w:jc w:val="center"/>
      </w:pPr>
    </w:p>
    <w:p>
      <w:pPr>
        <w:widowControl/>
        <w:jc w:val="center"/>
      </w:pPr>
    </w:p>
    <w:p>
      <w:pPr>
        <w:widowControl/>
        <w:jc w:val="center"/>
      </w:pPr>
    </w:p>
    <w:p>
      <w:pPr>
        <w:widowControl/>
        <w:jc w:val="center"/>
      </w:pPr>
    </w:p>
    <w:p>
      <w:pPr>
        <w:widowControl/>
        <w:jc w:val="center"/>
      </w:pPr>
    </w:p>
    <w:p>
      <w:pPr>
        <w:widowControl/>
        <w:jc w:val="center"/>
        <w:rPr>
          <w:rFonts w:hint="eastAsia"/>
        </w:rPr>
      </w:pPr>
    </w:p>
    <w:p>
      <w:pPr>
        <w:widowControl/>
        <w:jc w:val="center"/>
        <w:rPr>
          <w:rFonts w:hint="eastAsia" w:ascii="宋体" w:hAnsi="宋体"/>
          <w:b/>
          <w:sz w:val="32"/>
          <w:szCs w:val="32"/>
        </w:rPr>
      </w:pPr>
      <w:r>
        <w:rPr>
          <w:rFonts w:hint="eastAsia" w:ascii="宋体" w:hAnsi="宋体"/>
          <w:b/>
          <w:sz w:val="32"/>
          <w:szCs w:val="32"/>
        </w:rPr>
        <w:drawing>
          <wp:inline distT="0" distB="0" distL="114300" distR="114300">
            <wp:extent cx="5751830" cy="2919730"/>
            <wp:effectExtent l="0" t="0" r="1270" b="13970"/>
            <wp:docPr id="3" name="图片 26" descr="1663570855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6" descr="1663570855758"/>
                    <pic:cNvPicPr>
                      <a:picLocks noChangeAspect="1"/>
                    </pic:cNvPicPr>
                  </pic:nvPicPr>
                  <pic:blipFill>
                    <a:blip r:embed="rId15"/>
                    <a:stretch>
                      <a:fillRect/>
                    </a:stretch>
                  </pic:blipFill>
                  <pic:spPr>
                    <a:xfrm>
                      <a:off x="0" y="0"/>
                      <a:ext cx="5751830" cy="2919730"/>
                    </a:xfrm>
                    <a:prstGeom prst="rect">
                      <a:avLst/>
                    </a:prstGeom>
                    <a:noFill/>
                    <a:ln>
                      <a:noFill/>
                    </a:ln>
                  </pic:spPr>
                </pic:pic>
              </a:graphicData>
            </a:graphic>
          </wp:inline>
        </w:drawing>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rPr>
          <w:rFonts w:hint="eastAsia" w:ascii="宋体" w:hAnsi="宋体"/>
          <w:b/>
          <w:sz w:val="32"/>
          <w:szCs w:val="32"/>
        </w:rPr>
      </w:pPr>
    </w:p>
    <w:p>
      <w:pPr>
        <w:widowControl/>
        <w:jc w:val="center"/>
        <w:rPr>
          <w:rFonts w:hint="eastAsia" w:ascii="宋体" w:hAnsi="宋体"/>
          <w:b/>
          <w:sz w:val="32"/>
          <w:szCs w:val="32"/>
        </w:rPr>
      </w:pPr>
      <w:r>
        <w:rPr>
          <w:rFonts w:hint="eastAsia" w:ascii="宋体" w:hAnsi="宋体"/>
          <w:b/>
          <w:sz w:val="32"/>
          <w:szCs w:val="32"/>
        </w:rPr>
        <w:drawing>
          <wp:inline distT="0" distB="0" distL="114300" distR="114300">
            <wp:extent cx="5758180" cy="4209415"/>
            <wp:effectExtent l="0" t="0" r="13970" b="635"/>
            <wp:docPr id="4" name="图片 27" descr="1663570872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7" descr="1663570872639"/>
                    <pic:cNvPicPr>
                      <a:picLocks noChangeAspect="1"/>
                    </pic:cNvPicPr>
                  </pic:nvPicPr>
                  <pic:blipFill>
                    <a:blip r:embed="rId16"/>
                    <a:stretch>
                      <a:fillRect/>
                    </a:stretch>
                  </pic:blipFill>
                  <pic:spPr>
                    <a:xfrm>
                      <a:off x="0" y="0"/>
                      <a:ext cx="5758180" cy="4209415"/>
                    </a:xfrm>
                    <a:prstGeom prst="rect">
                      <a:avLst/>
                    </a:prstGeom>
                    <a:noFill/>
                    <a:ln>
                      <a:noFill/>
                    </a:ln>
                  </pic:spPr>
                </pic:pic>
              </a:graphicData>
            </a:graphic>
          </wp:inline>
        </w:drawing>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jc w:val="center"/>
        <w:rPr>
          <w:rFonts w:hint="eastAsia" w:ascii="宋体" w:hAnsi="宋体"/>
          <w:b/>
          <w:sz w:val="32"/>
          <w:szCs w:val="32"/>
        </w:rPr>
      </w:pPr>
      <w:r>
        <w:rPr>
          <w:rFonts w:hint="eastAsia" w:ascii="宋体" w:hAnsi="宋体"/>
          <w:b/>
          <w:sz w:val="32"/>
          <w:szCs w:val="32"/>
        </w:rPr>
        <w:drawing>
          <wp:inline distT="0" distB="0" distL="114300" distR="114300">
            <wp:extent cx="5753100" cy="4239895"/>
            <wp:effectExtent l="0" t="0" r="0" b="8255"/>
            <wp:docPr id="5" name="图片 28" descr="166357089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8" descr="1663570897729"/>
                    <pic:cNvPicPr>
                      <a:picLocks noChangeAspect="1"/>
                    </pic:cNvPicPr>
                  </pic:nvPicPr>
                  <pic:blipFill>
                    <a:blip r:embed="rId17"/>
                    <a:stretch>
                      <a:fillRect/>
                    </a:stretch>
                  </pic:blipFill>
                  <pic:spPr>
                    <a:xfrm>
                      <a:off x="0" y="0"/>
                      <a:ext cx="5753100" cy="4239895"/>
                    </a:xfrm>
                    <a:prstGeom prst="rect">
                      <a:avLst/>
                    </a:prstGeom>
                    <a:noFill/>
                    <a:ln>
                      <a:noFill/>
                    </a:ln>
                  </pic:spPr>
                </pic:pic>
              </a:graphicData>
            </a:graphic>
          </wp:inline>
        </w:drawing>
      </w:r>
    </w:p>
    <w:p>
      <w:pPr>
        <w:widowControl/>
        <w:jc w:val="center"/>
        <w:rPr>
          <w:rFonts w:hint="eastAsia"/>
        </w:rPr>
      </w:pPr>
      <w:r>
        <w:rPr>
          <w:rFonts w:hint="eastAsia"/>
        </w:rPr>
        <w:drawing>
          <wp:inline distT="0" distB="0" distL="114300" distR="114300">
            <wp:extent cx="5758180" cy="8941435"/>
            <wp:effectExtent l="0" t="0" r="13970" b="12065"/>
            <wp:docPr id="6" name="图片 29" descr="1663570919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9" descr="1663570919575"/>
                    <pic:cNvPicPr>
                      <a:picLocks noChangeAspect="1"/>
                    </pic:cNvPicPr>
                  </pic:nvPicPr>
                  <pic:blipFill>
                    <a:blip r:embed="rId18"/>
                    <a:stretch>
                      <a:fillRect/>
                    </a:stretch>
                  </pic:blipFill>
                  <pic:spPr>
                    <a:xfrm>
                      <a:off x="0" y="0"/>
                      <a:ext cx="5758180" cy="8941435"/>
                    </a:xfrm>
                    <a:prstGeom prst="rect">
                      <a:avLst/>
                    </a:prstGeom>
                    <a:noFill/>
                    <a:ln>
                      <a:noFill/>
                    </a:ln>
                  </pic:spPr>
                </pic:pic>
              </a:graphicData>
            </a:graphic>
          </wp:inline>
        </w:drawing>
      </w: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rPr>
          <w:rFonts w:hint="eastAsia"/>
        </w:rPr>
      </w:pPr>
      <w:r>
        <w:rPr>
          <w:rFonts w:hint="eastAsia"/>
        </w:rPr>
        <w:drawing>
          <wp:inline distT="0" distB="0" distL="114300" distR="114300">
            <wp:extent cx="5391150" cy="5505450"/>
            <wp:effectExtent l="0" t="0" r="0" b="0"/>
            <wp:docPr id="7" name="图片 30" descr="166357094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0" descr="1663570949984"/>
                    <pic:cNvPicPr>
                      <a:picLocks noChangeAspect="1"/>
                    </pic:cNvPicPr>
                  </pic:nvPicPr>
                  <pic:blipFill>
                    <a:blip r:embed="rId19"/>
                    <a:stretch>
                      <a:fillRect/>
                    </a:stretch>
                  </pic:blipFill>
                  <pic:spPr>
                    <a:xfrm>
                      <a:off x="0" y="0"/>
                      <a:ext cx="5391150" cy="5505450"/>
                    </a:xfrm>
                    <a:prstGeom prst="rect">
                      <a:avLst/>
                    </a:prstGeom>
                    <a:noFill/>
                    <a:ln>
                      <a:noFill/>
                    </a:ln>
                  </pic:spPr>
                </pic:pic>
              </a:graphicData>
            </a:graphic>
          </wp:inline>
        </w:drawing>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jc w:val="center"/>
        <w:rPr>
          <w:rFonts w:hint="eastAsia"/>
        </w:rPr>
      </w:pPr>
      <w:r>
        <w:rPr>
          <w:rFonts w:hint="eastAsia"/>
        </w:rPr>
        <w:drawing>
          <wp:inline distT="0" distB="0" distL="114300" distR="114300">
            <wp:extent cx="5754370" cy="2000885"/>
            <wp:effectExtent l="0" t="0" r="17780" b="18415"/>
            <wp:docPr id="8" name="图片 31" descr="166357097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1" descr="1663570970457"/>
                    <pic:cNvPicPr>
                      <a:picLocks noChangeAspect="1"/>
                    </pic:cNvPicPr>
                  </pic:nvPicPr>
                  <pic:blipFill>
                    <a:blip r:embed="rId20"/>
                    <a:stretch>
                      <a:fillRect/>
                    </a:stretch>
                  </pic:blipFill>
                  <pic:spPr>
                    <a:xfrm>
                      <a:off x="0" y="0"/>
                      <a:ext cx="5754370" cy="2000885"/>
                    </a:xfrm>
                    <a:prstGeom prst="rect">
                      <a:avLst/>
                    </a:prstGeom>
                    <a:noFill/>
                    <a:ln>
                      <a:noFill/>
                    </a:ln>
                  </pic:spPr>
                </pic:pic>
              </a:graphicData>
            </a:graphic>
          </wp:inline>
        </w:drawing>
      </w:r>
    </w:p>
    <w:p>
      <w:pPr>
        <w:widowControl/>
        <w:jc w:val="center"/>
      </w:pPr>
    </w:p>
    <w:p>
      <w:pPr>
        <w:widowControl/>
        <w:jc w:val="center"/>
      </w:pPr>
    </w:p>
    <w:p>
      <w:pPr>
        <w:widowControl/>
        <w:jc w:val="center"/>
      </w:pPr>
    </w:p>
    <w:p>
      <w:pPr>
        <w:widowControl/>
        <w:jc w:val="center"/>
        <w:rPr>
          <w:rFonts w:hint="eastAsia"/>
        </w:rPr>
      </w:pPr>
      <w:r>
        <w:rPr>
          <w:rFonts w:hint="eastAsia"/>
        </w:rPr>
        <w:drawing>
          <wp:inline distT="0" distB="0" distL="114300" distR="114300">
            <wp:extent cx="5754370" cy="3001010"/>
            <wp:effectExtent l="0" t="0" r="17780" b="8890"/>
            <wp:docPr id="9" name="图片 16" descr="1663570986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descr="1663570986399"/>
                    <pic:cNvPicPr>
                      <a:picLocks noChangeAspect="1"/>
                    </pic:cNvPicPr>
                  </pic:nvPicPr>
                  <pic:blipFill>
                    <a:blip r:embed="rId21"/>
                    <a:stretch>
                      <a:fillRect/>
                    </a:stretch>
                  </pic:blipFill>
                  <pic:spPr>
                    <a:xfrm>
                      <a:off x="0" y="0"/>
                      <a:ext cx="5754370" cy="3001010"/>
                    </a:xfrm>
                    <a:prstGeom prst="rect">
                      <a:avLst/>
                    </a:prstGeom>
                    <a:noFill/>
                    <a:ln>
                      <a:noFill/>
                    </a:ln>
                  </pic:spPr>
                </pic:pic>
              </a:graphicData>
            </a:graphic>
          </wp:inline>
        </w:drawing>
      </w:r>
    </w:p>
    <w:p>
      <w:pPr>
        <w:widowControl/>
        <w:jc w:val="center"/>
      </w:pPr>
    </w:p>
    <w:p>
      <w:pPr>
        <w:widowControl/>
        <w:jc w:val="center"/>
        <w:rPr>
          <w:rFonts w:hint="eastAsia"/>
        </w:rPr>
      </w:pPr>
      <w:r>
        <w:rPr>
          <w:rFonts w:hint="eastAsia"/>
        </w:rPr>
        <w:drawing>
          <wp:inline distT="0" distB="0" distL="114300" distR="114300">
            <wp:extent cx="5581650" cy="3419475"/>
            <wp:effectExtent l="0" t="0" r="0" b="9525"/>
            <wp:docPr id="10" name="图片 33" descr="166357100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3" descr="1663571002249"/>
                    <pic:cNvPicPr>
                      <a:picLocks noChangeAspect="1"/>
                    </pic:cNvPicPr>
                  </pic:nvPicPr>
                  <pic:blipFill>
                    <a:blip r:embed="rId22"/>
                    <a:stretch>
                      <a:fillRect/>
                    </a:stretch>
                  </pic:blipFill>
                  <pic:spPr>
                    <a:xfrm>
                      <a:off x="0" y="0"/>
                      <a:ext cx="5581650" cy="3419475"/>
                    </a:xfrm>
                    <a:prstGeom prst="rect">
                      <a:avLst/>
                    </a:prstGeom>
                    <a:noFill/>
                    <a:ln>
                      <a:noFill/>
                    </a:ln>
                  </pic:spPr>
                </pic:pic>
              </a:graphicData>
            </a:graphic>
          </wp:inline>
        </w:drawing>
      </w:r>
    </w:p>
    <w:p>
      <w:pPr>
        <w:widowControl/>
        <w:jc w:val="center"/>
      </w:pPr>
    </w:p>
    <w:p>
      <w:pPr>
        <w:widowControl/>
        <w:jc w:val="center"/>
        <w:rPr>
          <w:rFonts w:hint="eastAsia"/>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2021年度部门决算情况说明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本部门2021年度收入总计897.61万元，其中年初结转和结余0万元，较2020年减少 818.22万元，下降47.69%；本年收入合计897.61万元，较2020年减少818.22万元，下降47.69%，主要原因是：部门职能调整减少项目经费及人员减少。</w:t>
      </w:r>
    </w:p>
    <w:p>
      <w:pPr>
        <w:autoSpaceDE w:val="0"/>
        <w:autoSpaceDN w:val="0"/>
        <w:adjustRightInd w:val="0"/>
        <w:spacing w:line="360" w:lineRule="auto"/>
        <w:ind w:firstLine="600" w:firstLineChars="200"/>
        <w:jc w:val="left"/>
        <w:rPr>
          <w:rFonts w:hint="eastAsia" w:ascii="仿宋" w:hAnsi="仿宋" w:eastAsia="仿宋"/>
          <w:sz w:val="30"/>
          <w:szCs w:val="30"/>
        </w:rPr>
      </w:pPr>
      <w:r>
        <w:rPr>
          <w:rFonts w:hint="eastAsia" w:ascii="仿宋" w:hAnsi="仿宋" w:eastAsia="仿宋" w:cs="仿宋_GB2312"/>
          <w:kern w:val="0"/>
          <w:sz w:val="30"/>
          <w:szCs w:val="30"/>
        </w:rPr>
        <w:t xml:space="preserve">本年收入的具体构成为：财政拨款收入897.61万元，占100%；事业收入0万元；经营收入0万元，；其他收入 0万元。 </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本部门2021年度支出总计897.61万元，其中本年支出合计897.61   万元，较2020年减少818.22万元，下降47.69 %，主要原因是：部门职能调整减少项目经费及人员减少。；年末结转和结余0万元，较2020年增加（减少）0万元。</w:t>
      </w:r>
    </w:p>
    <w:p>
      <w:pPr>
        <w:autoSpaceDE w:val="0"/>
        <w:autoSpaceDN w:val="0"/>
        <w:adjustRightInd w:val="0"/>
        <w:spacing w:line="360" w:lineRule="auto"/>
        <w:ind w:firstLine="600" w:firstLineChars="200"/>
        <w:jc w:val="left"/>
        <w:rPr>
          <w:rFonts w:hint="eastAsia" w:ascii="仿宋" w:hAnsi="仿宋" w:eastAsia="仿宋"/>
          <w:sz w:val="30"/>
          <w:szCs w:val="30"/>
        </w:rPr>
      </w:pPr>
      <w:r>
        <w:rPr>
          <w:rFonts w:hint="eastAsia" w:ascii="仿宋" w:hAnsi="仿宋" w:eastAsia="仿宋" w:cs="仿宋_GB2312"/>
          <w:kern w:val="0"/>
          <w:sz w:val="30"/>
          <w:szCs w:val="30"/>
        </w:rPr>
        <w:t>本年支出的具体构成为：基本支出598.98万元，占66.73%；项目</w:t>
      </w:r>
      <w:r>
        <w:rPr>
          <w:rFonts w:hint="eastAsia" w:ascii="仿宋" w:hAnsi="仿宋" w:eastAsia="仿宋"/>
          <w:sz w:val="30"/>
          <w:szCs w:val="30"/>
        </w:rPr>
        <w:t>支出298.63万元，占33.27%；经营支出 0万元；其他支出（对附属单位补助支出、上缴上级支出）0万元。</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本部门2021年度财政拨款本年支出年初预算数为869.1万元，决算数为897.61万元，完成年初预算的103.28%。其中：</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（一）一般公共服务支出年初预算数为784.19万元，决算数为886.70万元，完成年初预算的113.07%，主要原因是：主要原因是</w:t>
      </w:r>
      <w:r>
        <w:rPr>
          <w:rFonts w:hint="eastAsia" w:ascii="仿宋" w:hAnsi="仿宋" w:eastAsia="仿宋" w:cs="仿宋_GB2312"/>
          <w:kern w:val="0"/>
          <w:sz w:val="30"/>
          <w:szCs w:val="30"/>
          <w:lang w:eastAsia="zh-CN"/>
        </w:rPr>
        <w:t>本年单位</w:t>
      </w:r>
      <w:r>
        <w:rPr>
          <w:rFonts w:hint="eastAsia" w:ascii="仿宋" w:hAnsi="仿宋" w:eastAsia="仿宋" w:cs="仿宋_GB2312"/>
          <w:kern w:val="0"/>
          <w:sz w:val="30"/>
          <w:szCs w:val="30"/>
        </w:rPr>
        <w:t>人员</w:t>
      </w:r>
      <w:r>
        <w:rPr>
          <w:rFonts w:hint="eastAsia" w:ascii="仿宋" w:hAnsi="仿宋" w:eastAsia="仿宋" w:cs="仿宋_GB2312"/>
          <w:kern w:val="0"/>
          <w:sz w:val="30"/>
          <w:szCs w:val="30"/>
          <w:lang w:eastAsia="zh-CN"/>
        </w:rPr>
        <w:t>较年初有</w:t>
      </w:r>
      <w:r>
        <w:rPr>
          <w:rFonts w:hint="eastAsia" w:ascii="仿宋" w:hAnsi="仿宋" w:eastAsia="仿宋" w:cs="仿宋_GB2312"/>
          <w:kern w:val="0"/>
          <w:sz w:val="30"/>
          <w:szCs w:val="30"/>
        </w:rPr>
        <w:t>增</w:t>
      </w:r>
      <w:r>
        <w:rPr>
          <w:rFonts w:hint="eastAsia" w:ascii="仿宋" w:hAnsi="仿宋" w:eastAsia="仿宋" w:cs="仿宋_GB2312"/>
          <w:kern w:val="0"/>
          <w:sz w:val="30"/>
          <w:szCs w:val="30"/>
          <w:lang w:eastAsia="zh-CN"/>
        </w:rPr>
        <w:t>加</w:t>
      </w:r>
      <w:r>
        <w:rPr>
          <w:rFonts w:hint="eastAsia" w:ascii="仿宋" w:hAnsi="仿宋" w:eastAsia="仿宋" w:cs="仿宋_GB2312"/>
          <w:kern w:val="0"/>
          <w:sz w:val="30"/>
          <w:szCs w:val="30"/>
        </w:rPr>
        <w:t>追加人员经费及上级转移支付款项。</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（二）社会保障和就业支出</w:t>
      </w:r>
      <w:r>
        <w:rPr>
          <w:rFonts w:hint="eastAsia" w:ascii="仿宋" w:hAnsi="仿宋" w:eastAsia="仿宋" w:cs="仿宋_GB2312"/>
          <w:kern w:val="0"/>
          <w:sz w:val="30"/>
          <w:szCs w:val="30"/>
          <w:lang w:eastAsia="zh-CN"/>
        </w:rPr>
        <w:t>全年</w:t>
      </w:r>
      <w:r>
        <w:rPr>
          <w:rFonts w:hint="eastAsia" w:ascii="仿宋" w:hAnsi="仿宋" w:eastAsia="仿宋" w:cs="仿宋_GB2312"/>
          <w:kern w:val="0"/>
          <w:sz w:val="30"/>
          <w:szCs w:val="30"/>
        </w:rPr>
        <w:t>预算数为</w:t>
      </w:r>
      <w:r>
        <w:rPr>
          <w:rFonts w:hint="eastAsia" w:ascii="仿宋" w:hAnsi="仿宋" w:eastAsia="仿宋" w:cs="仿宋_GB2312"/>
          <w:kern w:val="0"/>
          <w:sz w:val="30"/>
          <w:szCs w:val="30"/>
          <w:lang w:val="en-US" w:eastAsia="zh-CN"/>
        </w:rPr>
        <w:t>4.44</w:t>
      </w:r>
      <w:r>
        <w:rPr>
          <w:rFonts w:hint="eastAsia" w:ascii="仿宋" w:hAnsi="仿宋" w:eastAsia="仿宋" w:cs="仿宋_GB2312"/>
          <w:kern w:val="0"/>
          <w:sz w:val="30"/>
          <w:szCs w:val="30"/>
        </w:rPr>
        <w:t>万元，决算数为4.44  万元，完成</w:t>
      </w:r>
      <w:r>
        <w:rPr>
          <w:rFonts w:hint="eastAsia" w:ascii="仿宋" w:hAnsi="仿宋" w:eastAsia="仿宋" w:cs="仿宋_GB2312"/>
          <w:kern w:val="0"/>
          <w:sz w:val="30"/>
          <w:szCs w:val="30"/>
          <w:lang w:eastAsia="zh-CN"/>
        </w:rPr>
        <w:t>全年</w:t>
      </w:r>
      <w:r>
        <w:rPr>
          <w:rFonts w:hint="eastAsia" w:ascii="仿宋" w:hAnsi="仿宋" w:eastAsia="仿宋" w:cs="仿宋_GB2312"/>
          <w:kern w:val="0"/>
          <w:sz w:val="30"/>
          <w:szCs w:val="30"/>
        </w:rPr>
        <w:t>预算的100%，主要原因是：追加退休人员一次补缴单位部分职业年金。</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（三）卫生健康支出</w:t>
      </w:r>
      <w:r>
        <w:rPr>
          <w:rFonts w:hint="eastAsia" w:ascii="仿宋" w:hAnsi="仿宋" w:eastAsia="仿宋" w:cs="仿宋_GB2312"/>
          <w:kern w:val="0"/>
          <w:sz w:val="30"/>
          <w:szCs w:val="30"/>
          <w:lang w:eastAsia="zh-CN"/>
        </w:rPr>
        <w:t>全年</w:t>
      </w:r>
      <w:r>
        <w:rPr>
          <w:rFonts w:hint="eastAsia" w:ascii="仿宋" w:hAnsi="仿宋" w:eastAsia="仿宋" w:cs="仿宋_GB2312"/>
          <w:kern w:val="0"/>
          <w:sz w:val="30"/>
          <w:szCs w:val="30"/>
        </w:rPr>
        <w:t>预算数为</w:t>
      </w:r>
      <w:r>
        <w:rPr>
          <w:rFonts w:hint="eastAsia" w:ascii="仿宋" w:hAnsi="仿宋" w:eastAsia="仿宋" w:cs="仿宋_GB2312"/>
          <w:kern w:val="0"/>
          <w:sz w:val="30"/>
          <w:szCs w:val="30"/>
          <w:lang w:val="en-US" w:eastAsia="zh-CN"/>
        </w:rPr>
        <w:t>2</w:t>
      </w:r>
      <w:r>
        <w:rPr>
          <w:rFonts w:hint="eastAsia" w:ascii="仿宋" w:hAnsi="仿宋" w:eastAsia="仿宋" w:cs="仿宋_GB2312"/>
          <w:kern w:val="0"/>
          <w:sz w:val="30"/>
          <w:szCs w:val="30"/>
        </w:rPr>
        <w:t>万元，决算数为2 万元，完成</w:t>
      </w:r>
      <w:r>
        <w:rPr>
          <w:rFonts w:hint="eastAsia" w:ascii="仿宋" w:hAnsi="仿宋" w:eastAsia="仿宋" w:cs="仿宋_GB2312"/>
          <w:kern w:val="0"/>
          <w:sz w:val="30"/>
          <w:szCs w:val="30"/>
          <w:lang w:eastAsia="zh-CN"/>
        </w:rPr>
        <w:t>全</w:t>
      </w:r>
      <w:r>
        <w:rPr>
          <w:rFonts w:hint="eastAsia" w:ascii="仿宋" w:hAnsi="仿宋" w:eastAsia="仿宋" w:cs="仿宋_GB2312"/>
          <w:kern w:val="0"/>
          <w:sz w:val="30"/>
          <w:szCs w:val="30"/>
        </w:rPr>
        <w:t>年预算的100%，主要原因是：追加新冠疫情相关经费补助。</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（四）城乡社区支出年初预算数为85万元，决算数为0万元，完成年初预算的0%，主要原因是：两分局基层规范化建设项目未评审决算。</w:t>
      </w:r>
    </w:p>
    <w:p>
      <w:pPr>
        <w:autoSpaceDE w:val="0"/>
        <w:autoSpaceDN w:val="0"/>
        <w:adjustRightInd w:val="0"/>
        <w:spacing w:line="360" w:lineRule="auto"/>
        <w:ind w:firstLine="600" w:firstLineChars="200"/>
        <w:jc w:val="left"/>
        <w:rPr>
          <w:rFonts w:hint="eastAsia" w:ascii="仿宋" w:hAnsi="仿宋" w:eastAsia="仿宋"/>
          <w:sz w:val="30"/>
          <w:szCs w:val="30"/>
        </w:rPr>
      </w:pPr>
      <w:r>
        <w:rPr>
          <w:rFonts w:hint="eastAsia" w:ascii="仿宋" w:hAnsi="仿宋" w:eastAsia="仿宋" w:cs="仿宋_GB2312"/>
          <w:kern w:val="0"/>
          <w:sz w:val="30"/>
          <w:szCs w:val="30"/>
        </w:rPr>
        <w:t>（五）资源勘探工业信息等支出</w:t>
      </w:r>
      <w:r>
        <w:rPr>
          <w:rFonts w:hint="eastAsia" w:ascii="仿宋" w:hAnsi="仿宋" w:eastAsia="仿宋" w:cs="仿宋_GB2312"/>
          <w:kern w:val="0"/>
          <w:sz w:val="30"/>
          <w:szCs w:val="30"/>
          <w:lang w:eastAsia="zh-CN"/>
        </w:rPr>
        <w:t>全年</w:t>
      </w:r>
      <w:r>
        <w:rPr>
          <w:rFonts w:hint="eastAsia" w:ascii="仿宋" w:hAnsi="仿宋" w:eastAsia="仿宋" w:cs="仿宋_GB2312"/>
          <w:kern w:val="0"/>
          <w:sz w:val="30"/>
          <w:szCs w:val="30"/>
        </w:rPr>
        <w:t>预算数为</w:t>
      </w:r>
      <w:r>
        <w:rPr>
          <w:rFonts w:hint="eastAsia" w:ascii="仿宋" w:hAnsi="仿宋" w:eastAsia="仿宋" w:cs="仿宋_GB2312"/>
          <w:kern w:val="0"/>
          <w:sz w:val="30"/>
          <w:szCs w:val="30"/>
          <w:lang w:val="en-US" w:eastAsia="zh-CN"/>
        </w:rPr>
        <w:t>4.47</w:t>
      </w:r>
      <w:r>
        <w:rPr>
          <w:rFonts w:hint="eastAsia" w:ascii="仿宋" w:hAnsi="仿宋" w:eastAsia="仿宋" w:cs="仿宋_GB2312"/>
          <w:kern w:val="0"/>
          <w:sz w:val="30"/>
          <w:szCs w:val="30"/>
        </w:rPr>
        <w:t>万元，决算数为4.47万元，完成</w:t>
      </w:r>
      <w:r>
        <w:rPr>
          <w:rFonts w:hint="eastAsia" w:ascii="仿宋" w:hAnsi="仿宋" w:eastAsia="仿宋" w:cs="仿宋_GB2312"/>
          <w:kern w:val="0"/>
          <w:sz w:val="30"/>
          <w:szCs w:val="30"/>
          <w:lang w:eastAsia="zh-CN"/>
        </w:rPr>
        <w:t>全年</w:t>
      </w:r>
      <w:r>
        <w:rPr>
          <w:rFonts w:hint="eastAsia" w:ascii="仿宋" w:hAnsi="仿宋" w:eastAsia="仿宋" w:cs="仿宋_GB2312"/>
          <w:kern w:val="0"/>
          <w:sz w:val="30"/>
          <w:szCs w:val="30"/>
        </w:rPr>
        <w:t>预算的100%，主要原因是：追加科级以上干部高质量考核奖励金。</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本部门2021年度一般公共预算财政拨款基本支出598.98万元，其中：</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（一）工资福利支出436.95万元，较2020年减少139.61万元，下降24.21 %，主要原因是：机构改革人员</w:t>
      </w:r>
      <w:r>
        <w:rPr>
          <w:rFonts w:hint="eastAsia" w:ascii="仿宋" w:hAnsi="仿宋" w:eastAsia="仿宋" w:cs="仿宋_GB2312"/>
          <w:kern w:val="0"/>
          <w:sz w:val="30"/>
          <w:szCs w:val="30"/>
          <w:lang w:eastAsia="zh-CN"/>
        </w:rPr>
        <w:t>较上年相比有所</w:t>
      </w:r>
      <w:r>
        <w:rPr>
          <w:rFonts w:hint="eastAsia" w:ascii="仿宋" w:hAnsi="仿宋" w:eastAsia="仿宋" w:cs="仿宋_GB2312"/>
          <w:kern w:val="0"/>
          <w:sz w:val="30"/>
          <w:szCs w:val="30"/>
        </w:rPr>
        <w:t>减少。</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（二）商品和服务支出119.71万元，较2020年减少46.9万元，下降28.15 %，主要原因是：机构改革人员</w:t>
      </w:r>
      <w:r>
        <w:rPr>
          <w:rFonts w:hint="eastAsia" w:ascii="仿宋" w:hAnsi="仿宋" w:eastAsia="仿宋" w:cs="仿宋_GB2312"/>
          <w:kern w:val="0"/>
          <w:sz w:val="30"/>
          <w:szCs w:val="30"/>
          <w:lang w:eastAsia="zh-CN"/>
        </w:rPr>
        <w:t>较上年相比有所</w:t>
      </w:r>
      <w:r>
        <w:rPr>
          <w:rFonts w:hint="eastAsia" w:ascii="仿宋" w:hAnsi="仿宋" w:eastAsia="仿宋" w:cs="仿宋_GB2312"/>
          <w:kern w:val="0"/>
          <w:sz w:val="30"/>
          <w:szCs w:val="30"/>
        </w:rPr>
        <w:t>减少。</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（三）对个人和家庭补助支出9.33万元，较2020年减少277.21 万元，下降96.74 %，主要原因是：机构改革人员</w:t>
      </w:r>
      <w:r>
        <w:rPr>
          <w:rFonts w:hint="eastAsia" w:ascii="仿宋" w:hAnsi="仿宋" w:eastAsia="仿宋" w:cs="仿宋_GB2312"/>
          <w:kern w:val="0"/>
          <w:sz w:val="30"/>
          <w:szCs w:val="30"/>
          <w:lang w:eastAsia="zh-CN"/>
        </w:rPr>
        <w:t>较上年相比有所</w:t>
      </w:r>
      <w:r>
        <w:rPr>
          <w:rFonts w:hint="eastAsia" w:ascii="仿宋" w:hAnsi="仿宋" w:eastAsia="仿宋" w:cs="仿宋_GB2312"/>
          <w:kern w:val="0"/>
          <w:sz w:val="30"/>
          <w:szCs w:val="30"/>
        </w:rPr>
        <w:t>减少及政府性奖励在工资福利支出科目核算。</w:t>
      </w:r>
    </w:p>
    <w:p>
      <w:pPr>
        <w:autoSpaceDE w:val="0"/>
        <w:autoSpaceDN w:val="0"/>
        <w:adjustRightInd w:val="0"/>
        <w:spacing w:line="360" w:lineRule="auto"/>
        <w:ind w:firstLine="600" w:firstLineChars="200"/>
        <w:jc w:val="left"/>
        <w:rPr>
          <w:rFonts w:hint="eastAsia" w:ascii="仿宋" w:hAnsi="仿宋" w:eastAsia="仿宋"/>
          <w:sz w:val="30"/>
          <w:szCs w:val="30"/>
        </w:rPr>
      </w:pPr>
      <w:r>
        <w:rPr>
          <w:rFonts w:hint="eastAsia" w:ascii="仿宋" w:hAnsi="仿宋" w:eastAsia="仿宋" w:cs="仿宋_GB2312"/>
          <w:kern w:val="0"/>
          <w:sz w:val="30"/>
          <w:szCs w:val="30"/>
        </w:rPr>
        <w:t>（四）资本性支出33万元，较2020年增加33 万元，增长100%，主要原因是：市市监局安排新购三辆执法专业车辆购置费。</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本部门2021年度一般公共预算财政拨款“三公”经费支出年初预算数为25万元，决算数为10.04万元，完成预算的40.16%，决算数较2020年增加3.32万元，增长49.40 %，其中：</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（一）因公出国（境）支出年初预算数为0万元，决算数为0  万元，决算数较2020年增加（减少）0万元。全年安排因公出国（境）团组0个，累计0人次。</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（二）公务接待费支出年初预算数为10万元，决算数为0.23万元，完成预算的2.3%，决算数较2020年减少0.28万元，增下降54.90 %，主要原因是</w:t>
      </w:r>
      <w:r>
        <w:rPr>
          <w:rFonts w:hint="eastAsia" w:ascii="仿宋" w:hAnsi="仿宋" w:eastAsia="仿宋" w:cs="仿宋_GB2312"/>
          <w:kern w:val="0"/>
          <w:sz w:val="30"/>
          <w:szCs w:val="30"/>
          <w:lang w:eastAsia="zh-CN"/>
        </w:rPr>
        <w:t>厉行节约</w:t>
      </w:r>
      <w:r>
        <w:rPr>
          <w:rFonts w:hint="eastAsia" w:ascii="仿宋" w:hAnsi="仿宋" w:eastAsia="仿宋" w:cs="仿宋_GB2312"/>
          <w:kern w:val="0"/>
          <w:sz w:val="30"/>
          <w:szCs w:val="30"/>
        </w:rPr>
        <w:t>。决算数较年初预算数减少的主要原因是：</w:t>
      </w:r>
      <w:r>
        <w:rPr>
          <w:rFonts w:hint="eastAsia" w:ascii="仿宋" w:hAnsi="仿宋" w:eastAsia="仿宋" w:cs="仿宋_GB2312"/>
          <w:kern w:val="0"/>
          <w:sz w:val="30"/>
          <w:szCs w:val="30"/>
          <w:lang w:eastAsia="zh-CN"/>
        </w:rPr>
        <w:t>厉行节约</w:t>
      </w:r>
      <w:r>
        <w:rPr>
          <w:rFonts w:hint="eastAsia" w:ascii="仿宋" w:hAnsi="仿宋" w:eastAsia="仿宋" w:cs="仿宋_GB2312"/>
          <w:kern w:val="0"/>
          <w:sz w:val="30"/>
          <w:szCs w:val="30"/>
        </w:rPr>
        <w:t>。全年国内公务接待3批，累计接待29人次，其中外事接待0批，累计接待0人次，主要为：业务接待费。</w:t>
      </w:r>
    </w:p>
    <w:p>
      <w:pPr>
        <w:autoSpaceDE w:val="0"/>
        <w:autoSpaceDN w:val="0"/>
        <w:adjustRightInd w:val="0"/>
        <w:spacing w:line="360" w:lineRule="auto"/>
        <w:ind w:firstLine="600" w:firstLineChars="200"/>
        <w:jc w:val="left"/>
        <w:rPr>
          <w:rFonts w:hint="eastAsia" w:ascii="仿宋" w:hAnsi="仿宋" w:eastAsia="仿宋"/>
          <w:sz w:val="30"/>
          <w:szCs w:val="30"/>
        </w:rPr>
      </w:pPr>
      <w:r>
        <w:rPr>
          <w:rFonts w:hint="eastAsia" w:ascii="仿宋" w:hAnsi="仿宋" w:eastAsia="仿宋" w:cs="仿宋_GB2312"/>
          <w:kern w:val="0"/>
          <w:sz w:val="30"/>
          <w:szCs w:val="30"/>
        </w:rPr>
        <w:t>（三）公务用车购置及运行维护费支出9.81万元，其中公务用车购置年初预算数为0万元，决算数为0万元，决算数较2020年增加（减少）0万元，全年购置公务用车0辆；公务用车运行维护费支出年初预算数为15万元，决算数为9.81万元，完成预算的65.40%，决算数较2020年增加3.6万元，增长57.97 %，主要原因是疫情原因增加执法力度及公车年限较长增加公车维修费，年末公务用车保有5辆。决算数较年初预算数减少的主要原因是：</w:t>
      </w:r>
      <w:r>
        <w:rPr>
          <w:rFonts w:hint="eastAsia" w:ascii="仿宋" w:hAnsi="仿宋" w:eastAsia="仿宋" w:cs="仿宋_GB2312"/>
          <w:kern w:val="0"/>
          <w:sz w:val="30"/>
          <w:szCs w:val="30"/>
          <w:lang w:eastAsia="zh-CN"/>
        </w:rPr>
        <w:t>厉行节约</w:t>
      </w:r>
      <w:r>
        <w:rPr>
          <w:rFonts w:hint="eastAsia" w:ascii="仿宋" w:hAnsi="仿宋" w:eastAsia="仿宋" w:cs="仿宋_GB2312"/>
          <w:kern w:val="0"/>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本部门2021年度机关运行经费支出</w:t>
      </w:r>
      <w:r>
        <w:rPr>
          <w:rFonts w:hint="eastAsia" w:ascii="仿宋" w:hAnsi="仿宋" w:eastAsia="仿宋" w:cs="仿宋_GB2312"/>
          <w:kern w:val="0"/>
          <w:sz w:val="30"/>
          <w:szCs w:val="30"/>
          <w:lang w:val="en-US" w:eastAsia="zh-CN"/>
        </w:rPr>
        <w:t>152.71</w:t>
      </w:r>
      <w:r>
        <w:rPr>
          <w:rFonts w:hint="eastAsia" w:ascii="仿宋" w:hAnsi="仿宋" w:eastAsia="仿宋" w:cs="仿宋_GB2312"/>
          <w:kern w:val="0"/>
          <w:sz w:val="30"/>
          <w:szCs w:val="30"/>
        </w:rPr>
        <w:t>万元，较上年决算数</w:t>
      </w:r>
      <w:r>
        <w:rPr>
          <w:rFonts w:hint="eastAsia" w:ascii="仿宋" w:hAnsi="仿宋" w:eastAsia="仿宋" w:cs="仿宋_GB2312"/>
          <w:kern w:val="0"/>
          <w:sz w:val="30"/>
          <w:szCs w:val="30"/>
          <w:lang w:val="en-US" w:eastAsia="zh-CN"/>
        </w:rPr>
        <w:t>166.61万元</w:t>
      </w:r>
      <w:r>
        <w:rPr>
          <w:rFonts w:hint="eastAsia" w:ascii="仿宋" w:hAnsi="仿宋" w:eastAsia="仿宋" w:cs="仿宋_GB2312"/>
          <w:kern w:val="0"/>
          <w:sz w:val="30"/>
          <w:szCs w:val="30"/>
        </w:rPr>
        <w:t>减少</w:t>
      </w:r>
      <w:r>
        <w:rPr>
          <w:rFonts w:hint="eastAsia" w:ascii="仿宋" w:hAnsi="仿宋" w:eastAsia="仿宋" w:cs="仿宋_GB2312"/>
          <w:kern w:val="0"/>
          <w:sz w:val="30"/>
          <w:szCs w:val="30"/>
          <w:lang w:val="en-US" w:eastAsia="zh-CN"/>
        </w:rPr>
        <w:t>13</w:t>
      </w:r>
      <w:r>
        <w:rPr>
          <w:rFonts w:hint="eastAsia" w:ascii="仿宋" w:hAnsi="仿宋" w:eastAsia="仿宋" w:cs="仿宋_GB2312"/>
          <w:kern w:val="0"/>
          <w:sz w:val="30"/>
          <w:szCs w:val="30"/>
        </w:rPr>
        <w:t>.90万元，降低</w:t>
      </w:r>
      <w:r>
        <w:rPr>
          <w:rFonts w:hint="eastAsia" w:ascii="仿宋" w:hAnsi="仿宋" w:eastAsia="仿宋" w:cs="仿宋_GB2312"/>
          <w:kern w:val="0"/>
          <w:sz w:val="30"/>
          <w:szCs w:val="30"/>
          <w:lang w:val="en-US" w:eastAsia="zh-CN"/>
        </w:rPr>
        <w:t>8.34</w:t>
      </w:r>
      <w:r>
        <w:rPr>
          <w:rFonts w:hint="eastAsia" w:ascii="仿宋" w:hAnsi="仿宋" w:eastAsia="仿宋" w:cs="仿宋_GB2312"/>
          <w:kern w:val="0"/>
          <w:sz w:val="30"/>
          <w:szCs w:val="30"/>
        </w:rPr>
        <w:t>%，主要原因是：</w:t>
      </w:r>
      <w:r>
        <w:rPr>
          <w:rFonts w:hint="eastAsia" w:ascii="仿宋" w:hAnsi="仿宋" w:eastAsia="仿宋" w:cs="仿宋_GB2312"/>
          <w:kern w:val="0"/>
          <w:sz w:val="30"/>
          <w:szCs w:val="30"/>
          <w:lang w:eastAsia="zh-CN"/>
        </w:rPr>
        <w:t>厉行节约</w:t>
      </w:r>
      <w:r>
        <w:rPr>
          <w:rFonts w:hint="eastAsia" w:ascii="仿宋" w:hAnsi="仿宋" w:eastAsia="仿宋" w:cs="仿宋_GB2312"/>
          <w:kern w:val="0"/>
          <w:sz w:val="30"/>
          <w:szCs w:val="30"/>
        </w:rPr>
        <w:t xml:space="preserve">。 </w:t>
      </w:r>
    </w:p>
    <w:p>
      <w:pPr>
        <w:ind w:firstLine="630"/>
        <w:jc w:val="left"/>
        <w:rPr>
          <w:rFonts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七、政府采购支出情况说明</w:t>
      </w:r>
    </w:p>
    <w:p>
      <w:pPr>
        <w:pStyle w:val="15"/>
        <w:spacing w:line="600" w:lineRule="atLeast"/>
        <w:ind w:firstLine="600"/>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本部门2021年度政府采购支出总额69.68万元，其中：政府采购货物支出48.15万元、政府采购工程支出0万元、政府采购服务支出21.53万元。授予中小企业合同金额69.68万元，占政府采购支出总额的100%，其中：授予小微企业合同金额69.68万元，占政府采购支出总额的100 %;货物采购授予中小企业合同金额占货物支出金额的100%，服务采购授予中小企业合同金额占服务支出金额的100%。</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截止2021年12月31日，本部门（单位）国有资产占用情况见公开10表《国有资产占用情况表》。其中车辆中的执法执勤用车8辆主要是市场监督执法用车。</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pStyle w:val="2"/>
        <w:rPr>
          <w:rFonts w:hint="eastAsia"/>
        </w:rPr>
      </w:pP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w:t>
      </w:r>
      <w:r>
        <w:rPr>
          <w:rFonts w:hint="eastAsia" w:ascii="仿宋" w:hAnsi="仿宋" w:eastAsia="仿宋" w:cs="仿宋_GB2312"/>
          <w:kern w:val="0"/>
          <w:sz w:val="30"/>
          <w:szCs w:val="30"/>
        </w:rPr>
        <w:t xml:space="preserve">21年度一般公共预算项目支出所有二级项目12个全面开展绩效自评，共涉及资金298.63万元，占一般公共预算项目支出总额的100%。    </w:t>
      </w:r>
    </w:p>
    <w:p>
      <w:pPr>
        <w:spacing w:line="360" w:lineRule="auto"/>
        <w:ind w:firstLine="600" w:firstLineChars="200"/>
        <w:rPr>
          <w:rFonts w:hint="eastAsia" w:ascii="仿宋" w:hAnsi="仿宋" w:eastAsia="仿宋" w:cs="仿宋_GB2312"/>
          <w:kern w:val="0"/>
          <w:sz w:val="30"/>
          <w:szCs w:val="30"/>
        </w:rPr>
      </w:pPr>
      <w:r>
        <w:rPr>
          <w:rFonts w:hint="eastAsia" w:ascii="仿宋" w:hAnsi="仿宋" w:eastAsia="仿宋" w:cs="仿宋_GB2312"/>
          <w:kern w:val="0"/>
          <w:sz w:val="30"/>
          <w:szCs w:val="30"/>
        </w:rPr>
        <w:t>组织对“执法办案设备更新维护经费”、“食品药品监督管理工作经费”等13个项目开展了部门评价，涉及一般公共预算支出298.63万元，政府性基金预算支出0万元。从评价情况来看</w:t>
      </w:r>
      <w:r>
        <w:rPr>
          <w:rFonts w:hint="eastAsia" w:ascii="仿宋" w:hAnsi="仿宋" w:eastAsia="仿宋"/>
          <w:sz w:val="30"/>
          <w:szCs w:val="30"/>
        </w:rPr>
        <w:t>通过资金绩效自评，放大坐标找不足，提高标准找差距，进一步提高了资金使用率，达到既定的绩效目标。自评价平均总得分为94.79分，评价结论为“优”。</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组织开展部门整体支出绩效评价，涉及一般公共预算支出897.61万元，政府性基金预算支出0万元。从评价情况来看，我局在业务管理方面有了一定的经验，在工作管理的情况较好，各项管理制度比较健全，项目质量控制比较有效。在财务管理方面建立了相应的管理制度，对项目资金的监控也比较到位；自评总得分为95分，评价结论为“优”。</w:t>
      </w:r>
    </w:p>
    <w:p>
      <w:pPr>
        <w:autoSpaceDE w:val="0"/>
        <w:autoSpaceDN w:val="0"/>
        <w:adjustRightInd w:val="0"/>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（二）部门决算中项目绩效自评情况。</w:t>
      </w:r>
    </w:p>
    <w:p>
      <w:pPr>
        <w:spacing w:line="578" w:lineRule="exact"/>
        <w:jc w:val="center"/>
        <w:rPr>
          <w:rFonts w:ascii="仿宋" w:hAnsi="仿宋" w:eastAsia="仿宋"/>
          <w:b/>
          <w:bCs/>
          <w:sz w:val="44"/>
          <w:szCs w:val="44"/>
        </w:rPr>
      </w:pPr>
      <w:r>
        <w:rPr>
          <w:rFonts w:hint="eastAsia" w:ascii="仿宋" w:hAnsi="仿宋" w:eastAsia="仿宋"/>
          <w:b/>
          <w:bCs/>
          <w:sz w:val="44"/>
          <w:szCs w:val="44"/>
        </w:rPr>
        <w:t>项目支出绩效评价报告</w:t>
      </w:r>
    </w:p>
    <w:p>
      <w:pPr>
        <w:spacing w:line="578" w:lineRule="exact"/>
        <w:rPr>
          <w:rFonts w:ascii="仿宋" w:hAnsi="仿宋" w:eastAsia="仿宋"/>
          <w:szCs w:val="32"/>
        </w:rPr>
      </w:pPr>
    </w:p>
    <w:p>
      <w:pPr>
        <w:spacing w:line="578" w:lineRule="exact"/>
        <w:rPr>
          <w:rFonts w:ascii="仿宋" w:hAnsi="仿宋" w:eastAsia="仿宋"/>
          <w:szCs w:val="32"/>
        </w:rPr>
      </w:pPr>
    </w:p>
    <w:p>
      <w:pPr>
        <w:pStyle w:val="2"/>
        <w:ind w:left="0" w:leftChars="0" w:firstLine="0" w:firstLineChars="0"/>
        <w:rPr>
          <w:rFonts w:ascii="仿宋" w:hAnsi="仿宋" w:eastAsia="仿宋"/>
          <w:szCs w:val="32"/>
        </w:rPr>
      </w:pPr>
    </w:p>
    <w:p>
      <w:pPr>
        <w:spacing w:line="578" w:lineRule="exact"/>
        <w:rPr>
          <w:rFonts w:ascii="仿宋" w:hAnsi="仿宋" w:eastAsia="仿宋" w:cs="仿宋"/>
          <w:sz w:val="28"/>
          <w:szCs w:val="28"/>
        </w:rPr>
      </w:pPr>
    </w:p>
    <w:p>
      <w:pPr>
        <w:spacing w:line="578" w:lineRule="exact"/>
        <w:ind w:firstLine="1120" w:firstLineChars="400"/>
        <w:rPr>
          <w:rFonts w:ascii="仿宋" w:hAnsi="仿宋" w:eastAsia="仿宋" w:cs="仿宋"/>
          <w:sz w:val="28"/>
          <w:szCs w:val="28"/>
          <w:u w:val="single"/>
        </w:rPr>
      </w:pPr>
      <w:r>
        <w:rPr>
          <w:rFonts w:hint="eastAsia" w:ascii="仿宋" w:hAnsi="仿宋" w:eastAsia="仿宋" w:cs="仿宋"/>
          <w:sz w:val="28"/>
          <w:szCs w:val="28"/>
        </w:rPr>
        <w:t>评价类型：</w:t>
      </w:r>
      <w:r>
        <w:rPr>
          <w:rFonts w:hint="eastAsia" w:ascii="仿宋" w:hAnsi="仿宋" w:eastAsia="仿宋" w:cs="仿宋"/>
          <w:spacing w:val="-20"/>
          <w:sz w:val="28"/>
          <w:szCs w:val="28"/>
          <w:u w:val="single"/>
        </w:rPr>
        <w:t>□</w:t>
      </w:r>
      <w:r>
        <w:rPr>
          <w:rFonts w:hint="eastAsia" w:ascii="仿宋" w:hAnsi="仿宋" w:eastAsia="仿宋" w:cs="仿宋"/>
          <w:sz w:val="28"/>
          <w:szCs w:val="28"/>
          <w:u w:val="single"/>
        </w:rPr>
        <w:t>实施过程评价</w:t>
      </w:r>
      <w:r>
        <w:rPr>
          <w:rFonts w:hint="eastAsia" w:ascii="仿宋" w:hAnsi="仿宋" w:eastAsia="仿宋" w:cs="仿宋"/>
          <w:spacing w:val="-20"/>
          <w:sz w:val="28"/>
          <w:szCs w:val="28"/>
          <w:u w:val="single"/>
        </w:rPr>
        <w:sym w:font="Wingdings" w:char="00FE"/>
      </w:r>
      <w:r>
        <w:rPr>
          <w:rFonts w:hint="eastAsia" w:ascii="仿宋" w:hAnsi="仿宋" w:eastAsia="仿宋" w:cs="仿宋"/>
          <w:sz w:val="28"/>
          <w:szCs w:val="28"/>
          <w:u w:val="single"/>
        </w:rPr>
        <w:t>完成结果评价</w:t>
      </w:r>
    </w:p>
    <w:p>
      <w:pPr>
        <w:spacing w:line="578" w:lineRule="exact"/>
        <w:ind w:left="2517" w:leftChars="532" w:hanging="1400" w:hangingChars="500"/>
        <w:jc w:val="left"/>
        <w:rPr>
          <w:rFonts w:ascii="仿宋" w:hAnsi="仿宋" w:eastAsia="仿宋" w:cs="仿宋"/>
          <w:sz w:val="28"/>
          <w:szCs w:val="28"/>
          <w:u w:val="single"/>
        </w:rPr>
      </w:pPr>
      <w:r>
        <w:rPr>
          <w:rFonts w:hint="eastAsia" w:ascii="仿宋" w:hAnsi="仿宋" w:eastAsia="仿宋" w:cs="仿宋"/>
          <w:sz w:val="28"/>
          <w:szCs w:val="28"/>
        </w:rPr>
        <w:t xml:space="preserve">项目名称： </w:t>
      </w:r>
      <w:r>
        <w:rPr>
          <w:rFonts w:hint="eastAsia" w:ascii="仿宋" w:hAnsi="仿宋" w:eastAsia="仿宋" w:cs="仿宋"/>
          <w:sz w:val="28"/>
          <w:szCs w:val="28"/>
          <w:u w:val="single"/>
        </w:rPr>
        <w:t>执法办案设备更新维护经费、打击传销、打非经费、消费者权益保护、产品质量管理和监督行政执法、特种设备监管、协管站建设、食品安全城市工作经费、食品药品监督管理工作经费、基层分局工作经费、信息化建设工作经费、扫黑除恶工作经费、党建工作经费</w:t>
      </w:r>
    </w:p>
    <w:p>
      <w:pPr>
        <w:spacing w:line="578" w:lineRule="exact"/>
        <w:ind w:firstLine="1120" w:firstLineChars="400"/>
        <w:rPr>
          <w:rFonts w:ascii="仿宋" w:hAnsi="仿宋" w:eastAsia="仿宋" w:cs="仿宋"/>
          <w:sz w:val="28"/>
          <w:szCs w:val="28"/>
        </w:rPr>
      </w:pPr>
      <w:r>
        <w:rPr>
          <w:rFonts w:hint="eastAsia" w:ascii="仿宋" w:hAnsi="仿宋" w:eastAsia="仿宋" w:cs="仿宋"/>
          <w:sz w:val="28"/>
          <w:szCs w:val="28"/>
        </w:rPr>
        <w:t xml:space="preserve">项目单位： </w:t>
      </w:r>
      <w:r>
        <w:rPr>
          <w:rFonts w:hint="eastAsia" w:ascii="仿宋" w:hAnsi="仿宋" w:eastAsia="仿宋" w:cs="仿宋"/>
          <w:sz w:val="28"/>
          <w:szCs w:val="28"/>
          <w:u w:val="single"/>
        </w:rPr>
        <w:t xml:space="preserve">       南昌市湾里市场监督管理局            </w:t>
      </w:r>
    </w:p>
    <w:p>
      <w:pPr>
        <w:spacing w:line="578" w:lineRule="exact"/>
        <w:ind w:firstLine="1120" w:firstLineChars="400"/>
        <w:rPr>
          <w:rFonts w:ascii="仿宋" w:hAnsi="仿宋" w:eastAsia="仿宋" w:cs="仿宋"/>
          <w:sz w:val="28"/>
          <w:szCs w:val="28"/>
        </w:rPr>
      </w:pPr>
      <w:r>
        <w:rPr>
          <w:rFonts w:hint="eastAsia" w:ascii="仿宋" w:hAnsi="仿宋" w:eastAsia="仿宋" w:cs="仿宋"/>
          <w:sz w:val="28"/>
          <w:szCs w:val="28"/>
        </w:rPr>
        <w:t xml:space="preserve">主管部门： </w:t>
      </w:r>
      <w:r>
        <w:rPr>
          <w:rFonts w:hint="eastAsia" w:ascii="仿宋" w:hAnsi="仿宋" w:eastAsia="仿宋" w:cs="仿宋"/>
          <w:sz w:val="28"/>
          <w:szCs w:val="28"/>
          <w:u w:val="single"/>
        </w:rPr>
        <w:t>南昌市湾里市场监督管理局</w:t>
      </w:r>
    </w:p>
    <w:p>
      <w:pPr>
        <w:spacing w:line="578" w:lineRule="exact"/>
        <w:ind w:firstLine="1120" w:firstLineChars="400"/>
        <w:rPr>
          <w:rFonts w:ascii="仿宋" w:hAnsi="仿宋" w:eastAsia="仿宋" w:cs="仿宋"/>
          <w:sz w:val="28"/>
          <w:szCs w:val="28"/>
          <w:u w:val="single"/>
        </w:rPr>
      </w:pPr>
      <w:r>
        <w:rPr>
          <w:rFonts w:hint="eastAsia" w:ascii="仿宋" w:hAnsi="仿宋" w:eastAsia="仿宋" w:cs="仿宋"/>
          <w:sz w:val="28"/>
          <w:szCs w:val="28"/>
        </w:rPr>
        <w:t xml:space="preserve">评价时间： </w:t>
      </w:r>
      <w:r>
        <w:rPr>
          <w:rFonts w:hint="eastAsia" w:ascii="仿宋" w:hAnsi="仿宋" w:eastAsia="仿宋" w:cs="仿宋"/>
          <w:sz w:val="28"/>
          <w:szCs w:val="28"/>
          <w:u w:val="single"/>
        </w:rPr>
        <w:t xml:space="preserve"> 2022 年3月1  日至 2022年 3月25日</w:t>
      </w:r>
    </w:p>
    <w:p>
      <w:pPr>
        <w:spacing w:line="578" w:lineRule="exact"/>
        <w:ind w:firstLine="1120" w:firstLineChars="400"/>
        <w:rPr>
          <w:rFonts w:ascii="仿宋" w:hAnsi="仿宋" w:eastAsia="仿宋" w:cs="仿宋"/>
          <w:sz w:val="28"/>
          <w:szCs w:val="28"/>
          <w:u w:val="single"/>
        </w:rPr>
      </w:pPr>
      <w:r>
        <w:rPr>
          <w:rFonts w:hint="eastAsia" w:ascii="仿宋" w:hAnsi="仿宋" w:eastAsia="仿宋" w:cs="仿宋"/>
          <w:sz w:val="28"/>
          <w:szCs w:val="28"/>
        </w:rPr>
        <w:t>组织方式：</w:t>
      </w:r>
      <w:r>
        <w:rPr>
          <w:rFonts w:hint="eastAsia" w:ascii="仿宋" w:hAnsi="仿宋" w:eastAsia="仿宋" w:cs="仿宋"/>
          <w:sz w:val="28"/>
          <w:szCs w:val="28"/>
          <w:u w:val="single"/>
        </w:rPr>
        <w:t>□财政部门□主管部门</w:t>
      </w:r>
      <w:r>
        <w:rPr>
          <w:rFonts w:hint="eastAsia" w:ascii="仿宋" w:hAnsi="仿宋" w:eastAsia="仿宋" w:cs="仿宋"/>
          <w:sz w:val="28"/>
          <w:szCs w:val="28"/>
          <w:u w:val="single"/>
        </w:rPr>
        <w:sym w:font="Wingdings" w:char="00FE"/>
      </w:r>
      <w:r>
        <w:rPr>
          <w:rFonts w:hint="eastAsia" w:ascii="仿宋" w:hAnsi="仿宋" w:eastAsia="仿宋" w:cs="仿宋"/>
          <w:sz w:val="28"/>
          <w:szCs w:val="28"/>
          <w:u w:val="single"/>
        </w:rPr>
        <w:t>项目单位</w:t>
      </w:r>
    </w:p>
    <w:p>
      <w:pPr>
        <w:spacing w:line="578" w:lineRule="exact"/>
        <w:ind w:firstLine="1120" w:firstLineChars="400"/>
        <w:rPr>
          <w:rFonts w:ascii="仿宋" w:hAnsi="仿宋" w:eastAsia="仿宋" w:cs="仿宋"/>
          <w:sz w:val="28"/>
          <w:szCs w:val="28"/>
        </w:rPr>
      </w:pPr>
      <w:r>
        <w:rPr>
          <w:rFonts w:hint="eastAsia" w:ascii="仿宋" w:hAnsi="仿宋" w:eastAsia="仿宋" w:cs="仿宋"/>
          <w:sz w:val="28"/>
          <w:szCs w:val="28"/>
        </w:rPr>
        <w:t>评价机构：</w:t>
      </w:r>
      <w:r>
        <w:rPr>
          <w:rFonts w:hint="eastAsia" w:ascii="仿宋" w:hAnsi="仿宋" w:eastAsia="仿宋" w:cs="仿宋"/>
          <w:spacing w:val="-20"/>
          <w:sz w:val="28"/>
          <w:szCs w:val="28"/>
          <w:u w:val="single"/>
        </w:rPr>
        <w:t>□</w:t>
      </w:r>
      <w:r>
        <w:rPr>
          <w:rFonts w:hint="eastAsia" w:ascii="仿宋" w:hAnsi="仿宋" w:eastAsia="仿宋" w:cs="仿宋"/>
          <w:sz w:val="28"/>
          <w:szCs w:val="28"/>
          <w:u w:val="single"/>
        </w:rPr>
        <w:t xml:space="preserve">第三方机构 </w:t>
      </w:r>
      <w:r>
        <w:rPr>
          <w:rFonts w:hint="eastAsia" w:ascii="仿宋" w:hAnsi="仿宋" w:eastAsia="仿宋" w:cs="仿宋"/>
          <w:spacing w:val="-20"/>
          <w:sz w:val="28"/>
          <w:szCs w:val="28"/>
          <w:u w:val="single"/>
        </w:rPr>
        <w:t>□</w:t>
      </w:r>
      <w:r>
        <w:rPr>
          <w:rFonts w:hint="eastAsia" w:ascii="仿宋" w:hAnsi="仿宋" w:eastAsia="仿宋" w:cs="仿宋"/>
          <w:sz w:val="28"/>
          <w:szCs w:val="28"/>
          <w:u w:val="single"/>
        </w:rPr>
        <w:t xml:space="preserve">专家组 </w:t>
      </w:r>
      <w:r>
        <w:rPr>
          <w:rFonts w:hint="eastAsia" w:ascii="仿宋" w:hAnsi="仿宋" w:eastAsia="仿宋" w:cs="仿宋"/>
          <w:spacing w:val="-20"/>
          <w:sz w:val="28"/>
          <w:szCs w:val="28"/>
          <w:u w:val="single"/>
        </w:rPr>
        <w:sym w:font="Wingdings" w:char="00FE"/>
      </w:r>
      <w:r>
        <w:rPr>
          <w:rFonts w:hint="eastAsia" w:ascii="仿宋" w:hAnsi="仿宋" w:eastAsia="仿宋" w:cs="仿宋"/>
          <w:sz w:val="28"/>
          <w:szCs w:val="28"/>
          <w:u w:val="single"/>
        </w:rPr>
        <w:t>项目单位评价组</w:t>
      </w:r>
    </w:p>
    <w:p>
      <w:pPr>
        <w:spacing w:line="578" w:lineRule="exact"/>
        <w:ind w:left="1050" w:hanging="1050" w:hangingChars="500"/>
        <w:jc w:val="center"/>
        <w:rPr>
          <w:rFonts w:ascii="仿宋" w:hAnsi="仿宋" w:eastAsia="仿宋" w:cs="仿宋"/>
          <w:szCs w:val="32"/>
        </w:rPr>
      </w:pPr>
    </w:p>
    <w:p>
      <w:pPr>
        <w:spacing w:line="578" w:lineRule="exact"/>
        <w:ind w:left="1400" w:hanging="1400" w:hangingChars="500"/>
        <w:jc w:val="center"/>
        <w:rPr>
          <w:rFonts w:ascii="仿宋" w:hAnsi="仿宋" w:eastAsia="仿宋" w:cs="仿宋"/>
          <w:sz w:val="28"/>
          <w:szCs w:val="28"/>
        </w:rPr>
      </w:pPr>
    </w:p>
    <w:p>
      <w:pPr>
        <w:spacing w:line="578" w:lineRule="exact"/>
        <w:ind w:left="1400" w:hanging="1400" w:hangingChars="500"/>
        <w:jc w:val="center"/>
        <w:rPr>
          <w:rFonts w:ascii="仿宋" w:hAnsi="仿宋" w:eastAsia="仿宋" w:cs="仿宋"/>
          <w:sz w:val="28"/>
          <w:szCs w:val="28"/>
        </w:rPr>
      </w:pPr>
    </w:p>
    <w:p>
      <w:pPr>
        <w:spacing w:line="578" w:lineRule="exact"/>
        <w:ind w:left="1400" w:hanging="1400" w:hangingChars="500"/>
        <w:jc w:val="center"/>
        <w:rPr>
          <w:rFonts w:ascii="仿宋" w:hAnsi="仿宋" w:eastAsia="仿宋" w:cs="仿宋"/>
          <w:sz w:val="28"/>
          <w:szCs w:val="28"/>
        </w:rPr>
      </w:pPr>
      <w:r>
        <w:rPr>
          <w:rFonts w:hint="eastAsia" w:ascii="仿宋" w:hAnsi="仿宋" w:eastAsia="仿宋" w:cs="仿宋"/>
          <w:sz w:val="28"/>
          <w:szCs w:val="28"/>
        </w:rPr>
        <w:t>评价单位（盖章）：</w:t>
      </w:r>
    </w:p>
    <w:p>
      <w:pPr>
        <w:spacing w:line="578" w:lineRule="exact"/>
        <w:ind w:left="1400" w:hanging="1400" w:hangingChars="500"/>
        <w:jc w:val="center"/>
        <w:rPr>
          <w:rFonts w:ascii="仿宋" w:hAnsi="仿宋" w:eastAsia="仿宋" w:cs="仿宋"/>
          <w:sz w:val="28"/>
          <w:szCs w:val="28"/>
        </w:rPr>
      </w:pPr>
      <w:r>
        <w:rPr>
          <w:rFonts w:hint="eastAsia" w:ascii="仿宋" w:hAnsi="仿宋" w:eastAsia="仿宋" w:cs="仿宋"/>
          <w:sz w:val="28"/>
          <w:szCs w:val="28"/>
        </w:rPr>
        <w:t>上报时间：2022年3月25日</w:t>
      </w:r>
    </w:p>
    <w:p>
      <w:pPr>
        <w:spacing w:line="578" w:lineRule="exact"/>
        <w:ind w:left="1400" w:hanging="1400" w:hangingChars="500"/>
        <w:jc w:val="center"/>
        <w:rPr>
          <w:rFonts w:ascii="仿宋" w:hAnsi="仿宋" w:eastAsia="仿宋" w:cs="仿宋"/>
          <w:sz w:val="28"/>
          <w:szCs w:val="28"/>
        </w:rPr>
      </w:pPr>
      <w:r>
        <w:rPr>
          <w:rFonts w:hint="eastAsia" w:ascii="仿宋" w:hAnsi="仿宋" w:eastAsia="仿宋" w:cs="仿宋"/>
          <w:sz w:val="28"/>
          <w:szCs w:val="28"/>
        </w:rPr>
        <w:br w:type="page"/>
      </w:r>
    </w:p>
    <w:p>
      <w:pPr>
        <w:jc w:val="center"/>
        <w:rPr>
          <w:rFonts w:ascii="仿宋" w:hAnsi="仿宋" w:eastAsia="仿宋" w:cs="Arial"/>
          <w:b/>
          <w:bCs/>
          <w:sz w:val="44"/>
          <w:szCs w:val="44"/>
        </w:rPr>
      </w:pPr>
      <w:r>
        <w:rPr>
          <w:rFonts w:hint="eastAsia" w:ascii="仿宋" w:hAnsi="仿宋" w:eastAsia="仿宋" w:cs="Arial"/>
          <w:b/>
          <w:bCs/>
          <w:sz w:val="44"/>
          <w:szCs w:val="44"/>
        </w:rPr>
        <w:t>南昌市湾里市场监督管理局</w:t>
      </w:r>
    </w:p>
    <w:p>
      <w:pPr>
        <w:jc w:val="center"/>
        <w:rPr>
          <w:rFonts w:ascii="仿宋" w:hAnsi="仿宋" w:eastAsia="仿宋" w:cs="Arial"/>
          <w:b/>
          <w:bCs/>
          <w:sz w:val="44"/>
          <w:szCs w:val="44"/>
        </w:rPr>
      </w:pPr>
      <w:r>
        <w:rPr>
          <w:rFonts w:hint="eastAsia" w:ascii="仿宋" w:hAnsi="仿宋" w:eastAsia="仿宋" w:cs="Arial"/>
          <w:b/>
          <w:bCs/>
          <w:sz w:val="44"/>
          <w:szCs w:val="44"/>
        </w:rPr>
        <w:t>2021年度部门项目支出绩效自评总报告</w:t>
      </w:r>
    </w:p>
    <w:p>
      <w:pPr>
        <w:jc w:val="center"/>
        <w:rPr>
          <w:rFonts w:ascii="仿宋" w:hAnsi="仿宋" w:eastAsia="仿宋" w:cs="Arial"/>
          <w:b/>
          <w:bCs/>
          <w:sz w:val="44"/>
          <w:szCs w:val="44"/>
        </w:rPr>
      </w:pPr>
    </w:p>
    <w:p>
      <w:pPr>
        <w:spacing w:line="360" w:lineRule="auto"/>
        <w:ind w:firstLine="600" w:firstLineChars="200"/>
        <w:rPr>
          <w:rFonts w:ascii="仿宋" w:hAnsi="仿宋" w:eastAsia="仿宋"/>
          <w:sz w:val="30"/>
          <w:szCs w:val="30"/>
        </w:rPr>
      </w:pPr>
      <w:r>
        <w:rPr>
          <w:rFonts w:hint="eastAsia" w:ascii="仿宋" w:hAnsi="仿宋" w:eastAsia="仿宋"/>
          <w:sz w:val="30"/>
          <w:szCs w:val="30"/>
        </w:rPr>
        <w:t>为深入贯彻落实《中共南昌市委 南昌市人民政府关于全面实 施预算绩效管理的实施意见》(洪发[2019] 13号)及《南昌市 财政项目支出绩效评价管理办法》( 洪财办[2020] 44号)精神，增强我局预算编制的科学性、合理性、规范性，全面提高财政资源配置效率和使用效益，加快建立全方位、全过程、全覆盖、全公开的预算绩效管理机制，现决定开展2021年度项目支出绩效自评工作，现报告如下：</w:t>
      </w:r>
    </w:p>
    <w:p>
      <w:pPr>
        <w:pStyle w:val="2"/>
        <w:ind w:firstLine="600"/>
      </w:pPr>
    </w:p>
    <w:p>
      <w:pPr>
        <w:pStyle w:val="3"/>
        <w:widowControl/>
        <w:shd w:val="clear" w:color="auto" w:fill="FFFFFF"/>
        <w:spacing w:beforeAutospacing="0" w:afterAutospacing="0" w:line="360" w:lineRule="auto"/>
        <w:ind w:firstLine="642" w:firstLineChars="200"/>
        <w:jc w:val="both"/>
        <w:rPr>
          <w:rFonts w:hint="default" w:ascii="仿宋" w:hAnsi="仿宋" w:eastAsia="仿宋"/>
          <w:bCs/>
          <w:kern w:val="2"/>
          <w:sz w:val="32"/>
          <w:szCs w:val="32"/>
        </w:rPr>
      </w:pPr>
      <w:r>
        <w:rPr>
          <w:rFonts w:ascii="仿宋" w:hAnsi="仿宋" w:eastAsia="仿宋"/>
          <w:bCs/>
          <w:kern w:val="2"/>
          <w:sz w:val="32"/>
          <w:szCs w:val="32"/>
        </w:rPr>
        <w:t>一、本部门项目绩效目标管理情况</w:t>
      </w:r>
    </w:p>
    <w:p>
      <w:pPr>
        <w:spacing w:line="360" w:lineRule="auto"/>
        <w:ind w:firstLine="600" w:firstLineChars="200"/>
        <w:rPr>
          <w:rFonts w:ascii="仿宋_GB2312" w:hAnsi="宋体" w:eastAsia="仿宋_GB2312" w:cs="仿宋_GB2312"/>
          <w:color w:val="000000"/>
          <w:sz w:val="30"/>
          <w:szCs w:val="30"/>
        </w:rPr>
      </w:pPr>
      <w:r>
        <w:rPr>
          <w:rFonts w:hint="eastAsia" w:ascii="仿宋_GB2312" w:hAnsi="宋体" w:eastAsia="仿宋_GB2312" w:cs="仿宋_GB2312"/>
          <w:color w:val="000000"/>
          <w:sz w:val="30"/>
          <w:szCs w:val="30"/>
        </w:rPr>
        <w:t>2021年，我部门进一步加强预算绩效目标管理，不断提高预算管理的科学化和精细化水平。一是积极推进预算部门按要求编报项目预算时同步编报绩效目标，实现部门预算中重点项目绩效目标编报全覆盖。二是加强对绩效目标编制质量的审核，将绩效目标作为项目评审和预算安排的重要依据。三是推进预算部门实施绩效目标公开，做好绩效信息公开，主动接受社会监督。</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二、单位自评工作组织开展情况</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sz w:val="30"/>
          <w:szCs w:val="30"/>
        </w:rPr>
        <w:t>按照《中</w:t>
      </w:r>
      <w:r>
        <w:rPr>
          <w:rFonts w:hint="eastAsia" w:ascii="仿宋" w:hAnsi="仿宋" w:eastAsia="仿宋" w:cs="仿宋"/>
          <w:color w:val="000000"/>
          <w:sz w:val="30"/>
          <w:szCs w:val="30"/>
        </w:rPr>
        <w:t>共南昌市委 南昌市人民政府关于全面实施预算绩效管理的实施意见》（洪发〔2019〕13号）及《南昌市财政项目支出绩效评价管理办法》（洪财办〔2020〕44号）精神，根据《湾里管理局财政办关于开展2021年度单位绩效自评及部门评价工作的通知》要求，我单位各相关部门召开会议，此次自评工作，我单位选取12个预算项目，项目金额总计271.24万元。其中，</w:t>
      </w:r>
      <w:r>
        <w:rPr>
          <w:rFonts w:hint="eastAsia" w:ascii="仿宋" w:hAnsi="仿宋" w:eastAsia="仿宋" w:cs="仿宋"/>
          <w:sz w:val="30"/>
          <w:szCs w:val="30"/>
        </w:rPr>
        <w:t>执法办案设备更新维护经费22.02万元、打击传销、打非经费29.22万元、消费者权益保护15万元、产品质量管理和监督行政执法25万元、特种设备监管20万元、协管站建设10万元、食品安全城市工作经费20万元、食品药品监督管理工作经费65万元、基层分局工作经费20万元、信息化建设工作经费23万元、扫黑除恶工作经费20万元、党建工作经费2万元</w:t>
      </w:r>
      <w:r>
        <w:rPr>
          <w:rFonts w:hint="eastAsia" w:ascii="仿宋" w:hAnsi="仿宋" w:eastAsia="仿宋" w:cs="仿宋"/>
          <w:color w:val="000000"/>
          <w:sz w:val="30"/>
          <w:szCs w:val="30"/>
        </w:rPr>
        <w:t>。</w:t>
      </w:r>
    </w:p>
    <w:p>
      <w:pPr>
        <w:pStyle w:val="2"/>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（一）绩效评价目的</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通过对我单位2021年执法办案设备更新维护经费、打击传销、打非经费、消费者权益保护、产品质量管理和监督行政执法、特种设备监管、协管站建设、食品安全城市工作经费、食品药品监督管理工作经费、基层分局工作经费、信息化建设工作经费、扫黑除恶工作经费、党建工作经费</w:t>
      </w:r>
      <w:r>
        <w:rPr>
          <w:rFonts w:hint="eastAsia" w:ascii="仿宋" w:hAnsi="仿宋" w:eastAsia="仿宋" w:cs="仿宋"/>
          <w:color w:val="000000"/>
          <w:sz w:val="30"/>
          <w:szCs w:val="30"/>
        </w:rPr>
        <w:t>项目资金</w:t>
      </w:r>
      <w:r>
        <w:rPr>
          <w:rFonts w:hint="eastAsia" w:ascii="仿宋" w:hAnsi="仿宋" w:eastAsia="仿宋" w:cs="仿宋"/>
          <w:sz w:val="30"/>
          <w:szCs w:val="30"/>
        </w:rPr>
        <w:t>使用情况进行绩效评价，强化支出责任，建立科学、合理的财政专项资金绩效评价管理体系，提高资金使用效益，为今后我单位绩效工作安排和分配提供重要依据。</w:t>
      </w:r>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（二）绩效评价对象和范围</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次项目绩效评价对象及范围为2021年执法办案设备更新维护经费22.02万元、打击传销、打非经费29.22万元、消费者权益保护15万元、产品质量管理和监督行政执法25万元、特种设备监管20万元、协管站建设10万元、食品安全城市工作经费20万元、食品药品监督管理工作经费65万元、基层分局工作经费20万元、信息化建设工作经费23万元、扫黑除恶工作经费20万元、党建工作经费2万元</w:t>
      </w:r>
      <w:r>
        <w:rPr>
          <w:rFonts w:hint="eastAsia" w:ascii="仿宋" w:hAnsi="仿宋" w:eastAsia="仿宋" w:cs="仿宋"/>
          <w:color w:val="000000"/>
          <w:sz w:val="30"/>
          <w:szCs w:val="30"/>
        </w:rPr>
        <w:t>的</w:t>
      </w:r>
      <w:r>
        <w:rPr>
          <w:rFonts w:hint="eastAsia" w:ascii="仿宋" w:hAnsi="仿宋" w:eastAsia="仿宋" w:cs="仿宋"/>
          <w:sz w:val="30"/>
          <w:szCs w:val="30"/>
        </w:rPr>
        <w:t>资金使用情况。针对这次评价，从而深化部门预算改革和加强预算绩效管理的实际需要出发，通过科学合理的方法，客观公正地评价财政资金使用的规范性、经济性、效率性和效益性，是强化部门预算支出责任、改善财政支出管理、优化资源配置以及提高公共服务水平的重要手段。</w:t>
      </w:r>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（二）绩效评价原则、评价指标体系、评价方法、评价标准</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1.绩效评价原则</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我单位项目支出绩效评价将严格遵守科学规范原则、公正公开原则、分级分类原则以及绩效管理相关原则。</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2.评价指标体系</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根据财政部《预算绩效评价共性指标体系框架》等文件精神，确定本次绩效评价指标的整体框架，结合项目目标以及项目实施要求、申报要求、专项资金发放效果等内容，确定本次绩效评价指标体系的个性指标，具体详见《项目绩效评分表》，指标数据来源于相关法规、政府文件、基础数据采集、问卷调查和访谈等。</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评价指标体系表共 100 分。分值≥90 分，评价结果为“优”; 80分≤分值&lt;90 分，评价结果为“良”；60 分≤分值&lt;80 分，评价结果为“中”；分值&lt;60 分，评价结果为“差”。</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（1）项目投入：占权重 10 分。用于考核资金落实情况。</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（2）项目产出：占权重 50 分，分为产出数量、产出质量、产出时效、产出成本四个方面。用于衡量实际工作成果。</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（3）项目效果：占权重 30 分，分为经济效益、社会效益、生态效益、可持续影响四个方面。用于展现项目实施效果。</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（4）项目满意度：占权重 10 分，主要是指资金项目的服务对象或公众满意度。</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3.评价方法</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绩效评价主要采用以下评价方法：</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（1）成本效益分析法。是指将一定时期内的支出与效益进行对比分析，以评价绩效目标实现程度。</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（2）比较分析法。指通过对绩效目标与实施效果、当期情况的比较，综合分析绩效目标实现程度。</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（3）公众评判法。是指通过公众问卷及抽样调查等对财政支出效果进行评判，评价绩效目标实现程度。</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4.评价标准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按</w:t>
      </w:r>
      <w:r>
        <w:rPr>
          <w:rFonts w:hint="eastAsia" w:ascii="仿宋" w:hAnsi="仿宋" w:eastAsia="仿宋" w:cs="仿宋"/>
          <w:color w:val="000000"/>
          <w:sz w:val="30"/>
          <w:szCs w:val="30"/>
        </w:rPr>
        <w:t>《中共南昌市委南昌市人民政府关于全面实施预算绩效管理的实施意见》（洪发〔2019〕13号）及《南昌市财政项目支出绩效评价管理办法》（洪财办〔2020〕44号）精神，根据《湾里管理局财政办关于开展2021年度预算绩效目标管理有关工作的通知》要求</w:t>
      </w:r>
      <w:r>
        <w:rPr>
          <w:rFonts w:hint="eastAsia" w:ascii="仿宋" w:hAnsi="仿宋" w:eastAsia="仿宋" w:cs="仿宋"/>
          <w:sz w:val="30"/>
          <w:szCs w:val="30"/>
        </w:rPr>
        <w:t>，参照财政部《预算绩效评价共性指标体系框架》制定了《项目支出绩效评价指标体系评分表》，经我单位自评，2021年项目支出绩效评价得分。</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（三）绩效评价工作过程</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3月1日，我单位针对2021年所有的项目资金使用情况，绩效评价召开了会议，成立了绩效评价工作小组。3月10-3月25日绩效评价工作小组通过座谈听取情况、核查资金使用、采集相关数据、实地抽查项目、发放调查问卷等形式进行了现场评价，并根据有关资料进行汇总分析，形成评价结论。 </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三、综合评价结论</w:t>
      </w:r>
    </w:p>
    <w:p>
      <w:pPr>
        <w:widowControl/>
        <w:spacing w:line="360" w:lineRule="auto"/>
        <w:ind w:firstLine="600" w:firstLineChars="200"/>
        <w:jc w:val="left"/>
        <w:rPr>
          <w:rFonts w:ascii="仿宋_GB2312" w:hAnsi="仿宋" w:eastAsia="仿宋_GB2312" w:cs="仿宋"/>
          <w:bCs/>
          <w:color w:val="000000"/>
          <w:kern w:val="0"/>
          <w:sz w:val="30"/>
          <w:szCs w:val="30"/>
        </w:rPr>
      </w:pPr>
      <w:r>
        <w:rPr>
          <w:rFonts w:hint="eastAsia" w:ascii="仿宋_GB2312" w:hAnsi="仿宋" w:eastAsia="仿宋_GB2312" w:cs="仿宋"/>
          <w:bCs/>
          <w:color w:val="000000"/>
          <w:kern w:val="0"/>
          <w:sz w:val="30"/>
          <w:szCs w:val="30"/>
        </w:rPr>
        <w:t>根据自评绩效评分细则，我们严格按照经费管理原则管理和使用，严格执行预算管理、防止各种违反财经纪律的行为、保障重点、量入为出、收支平衡的原则，提高了资金使用效益，自评绩效评价平均得分为</w:t>
      </w:r>
      <w:r>
        <w:rPr>
          <w:rFonts w:hint="eastAsia" w:ascii="仿宋_GB2312" w:hAnsi="仿宋" w:eastAsia="仿宋_GB2312" w:cs="仿宋"/>
          <w:bCs/>
          <w:kern w:val="0"/>
          <w:sz w:val="30"/>
          <w:szCs w:val="30"/>
        </w:rPr>
        <w:t>94.79</w:t>
      </w:r>
      <w:r>
        <w:rPr>
          <w:rFonts w:hint="eastAsia" w:ascii="仿宋_GB2312" w:hAnsi="仿宋" w:eastAsia="仿宋_GB2312" w:cs="仿宋"/>
          <w:bCs/>
          <w:color w:val="000000"/>
          <w:kern w:val="0"/>
          <w:sz w:val="30"/>
          <w:szCs w:val="30"/>
        </w:rPr>
        <w:t>分，经绩效评价小组复核，项目最终绩效评价等级为“优”。</w:t>
      </w:r>
    </w:p>
    <w:tbl>
      <w:tblPr>
        <w:tblStyle w:val="9"/>
        <w:tblW w:w="9073" w:type="dxa"/>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57"/>
        <w:gridCol w:w="1366"/>
        <w:gridCol w:w="1567"/>
        <w:gridCol w:w="1467"/>
        <w:gridCol w:w="1666"/>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757" w:type="dxa"/>
            <w:shd w:val="clear" w:color="auto" w:fill="00B0F0"/>
            <w:noWrap w:val="0"/>
            <w:vAlign w:val="center"/>
          </w:tcPr>
          <w:p>
            <w:pPr>
              <w:widowControl/>
              <w:spacing w:line="240" w:lineRule="exact"/>
              <w:jc w:val="center"/>
              <w:textAlignment w:val="center"/>
              <w:rPr>
                <w:rFonts w:cs="仿宋_GB2312"/>
                <w:b/>
                <w:bCs/>
                <w:color w:val="FFFFFF"/>
                <w:sz w:val="28"/>
                <w:szCs w:val="28"/>
              </w:rPr>
            </w:pPr>
            <w:r>
              <w:rPr>
                <w:rFonts w:hint="eastAsia" w:cs="仿宋_GB2312"/>
                <w:b/>
                <w:bCs/>
                <w:color w:val="FFFFFF"/>
                <w:kern w:val="0"/>
                <w:sz w:val="28"/>
                <w:szCs w:val="28"/>
              </w:rPr>
              <w:t>项目名称</w:t>
            </w:r>
          </w:p>
        </w:tc>
        <w:tc>
          <w:tcPr>
            <w:tcW w:w="1366" w:type="dxa"/>
            <w:shd w:val="clear" w:color="auto" w:fill="00B0F0"/>
            <w:noWrap w:val="0"/>
            <w:vAlign w:val="center"/>
          </w:tcPr>
          <w:p>
            <w:pPr>
              <w:widowControl/>
              <w:spacing w:line="240" w:lineRule="exact"/>
              <w:jc w:val="center"/>
              <w:textAlignment w:val="center"/>
              <w:rPr>
                <w:rFonts w:cs="仿宋_GB2312"/>
                <w:b/>
                <w:bCs/>
                <w:color w:val="FFFFFF"/>
                <w:kern w:val="0"/>
                <w:sz w:val="28"/>
                <w:szCs w:val="28"/>
              </w:rPr>
            </w:pPr>
            <w:r>
              <w:rPr>
                <w:rFonts w:hint="eastAsia" w:cs="仿宋_GB2312"/>
                <w:b/>
                <w:bCs/>
                <w:color w:val="FFFFFF"/>
                <w:kern w:val="0"/>
                <w:sz w:val="28"/>
                <w:szCs w:val="28"/>
              </w:rPr>
              <w:t>项目投入</w:t>
            </w:r>
          </w:p>
          <w:p>
            <w:pPr>
              <w:widowControl/>
              <w:spacing w:line="240" w:lineRule="exact"/>
              <w:jc w:val="center"/>
              <w:textAlignment w:val="center"/>
              <w:rPr>
                <w:rFonts w:cs="仿宋_GB2312"/>
                <w:b/>
                <w:bCs/>
                <w:color w:val="FFFFFF"/>
                <w:kern w:val="0"/>
                <w:sz w:val="28"/>
                <w:szCs w:val="28"/>
              </w:rPr>
            </w:pPr>
            <w:r>
              <w:rPr>
                <w:rFonts w:hint="eastAsia" w:cs="仿宋_GB2312"/>
                <w:b/>
                <w:bCs/>
                <w:color w:val="FFFFFF"/>
                <w:kern w:val="0"/>
                <w:sz w:val="28"/>
                <w:szCs w:val="28"/>
              </w:rPr>
              <w:t>（10分</w:t>
            </w:r>
          </w:p>
        </w:tc>
        <w:tc>
          <w:tcPr>
            <w:tcW w:w="1567" w:type="dxa"/>
            <w:shd w:val="clear" w:color="auto" w:fill="00B0F0"/>
            <w:noWrap w:val="0"/>
            <w:vAlign w:val="center"/>
          </w:tcPr>
          <w:p>
            <w:pPr>
              <w:widowControl/>
              <w:spacing w:line="240" w:lineRule="exact"/>
              <w:jc w:val="center"/>
              <w:textAlignment w:val="center"/>
              <w:rPr>
                <w:rFonts w:cs="仿宋_GB2312"/>
                <w:b/>
                <w:bCs/>
                <w:color w:val="FFFFFF"/>
                <w:kern w:val="0"/>
                <w:sz w:val="28"/>
                <w:szCs w:val="28"/>
              </w:rPr>
            </w:pPr>
            <w:r>
              <w:rPr>
                <w:rFonts w:hint="eastAsia" w:cs="仿宋_GB2312"/>
                <w:b/>
                <w:bCs/>
                <w:color w:val="FFFFFF"/>
                <w:kern w:val="0"/>
                <w:sz w:val="28"/>
                <w:szCs w:val="28"/>
              </w:rPr>
              <w:t>项目产出</w:t>
            </w:r>
          </w:p>
          <w:p>
            <w:pPr>
              <w:widowControl/>
              <w:spacing w:line="240" w:lineRule="exact"/>
              <w:jc w:val="center"/>
              <w:textAlignment w:val="center"/>
              <w:rPr>
                <w:rFonts w:cs="仿宋_GB2312"/>
                <w:b/>
                <w:bCs/>
                <w:color w:val="FFFFFF"/>
                <w:sz w:val="28"/>
                <w:szCs w:val="28"/>
              </w:rPr>
            </w:pPr>
            <w:r>
              <w:rPr>
                <w:rFonts w:hint="eastAsia" w:cs="仿宋_GB2312"/>
                <w:b/>
                <w:bCs/>
                <w:color w:val="FFFFFF"/>
                <w:kern w:val="0"/>
                <w:sz w:val="28"/>
                <w:szCs w:val="28"/>
              </w:rPr>
              <w:t>（50分）</w:t>
            </w:r>
          </w:p>
        </w:tc>
        <w:tc>
          <w:tcPr>
            <w:tcW w:w="1467" w:type="dxa"/>
            <w:shd w:val="clear" w:color="auto" w:fill="00B0F0"/>
            <w:noWrap w:val="0"/>
            <w:vAlign w:val="center"/>
          </w:tcPr>
          <w:p>
            <w:pPr>
              <w:widowControl/>
              <w:spacing w:line="240" w:lineRule="exact"/>
              <w:jc w:val="center"/>
              <w:textAlignment w:val="center"/>
              <w:rPr>
                <w:rFonts w:cs="仿宋_GB2312"/>
                <w:b/>
                <w:bCs/>
                <w:color w:val="FFFFFF"/>
                <w:kern w:val="0"/>
                <w:sz w:val="28"/>
                <w:szCs w:val="28"/>
              </w:rPr>
            </w:pPr>
            <w:r>
              <w:rPr>
                <w:rFonts w:hint="eastAsia" w:cs="仿宋_GB2312"/>
                <w:b/>
                <w:bCs/>
                <w:color w:val="FFFFFF"/>
                <w:kern w:val="0"/>
                <w:sz w:val="28"/>
                <w:szCs w:val="28"/>
              </w:rPr>
              <w:t>项目效果</w:t>
            </w:r>
          </w:p>
          <w:p>
            <w:pPr>
              <w:widowControl/>
              <w:spacing w:line="240" w:lineRule="exact"/>
              <w:jc w:val="center"/>
              <w:textAlignment w:val="center"/>
              <w:rPr>
                <w:rFonts w:cs="仿宋_GB2312"/>
                <w:b/>
                <w:bCs/>
                <w:color w:val="FFFFFF"/>
                <w:sz w:val="28"/>
                <w:szCs w:val="28"/>
              </w:rPr>
            </w:pPr>
            <w:r>
              <w:rPr>
                <w:rFonts w:hint="eastAsia" w:cs="仿宋_GB2312"/>
                <w:b/>
                <w:bCs/>
                <w:color w:val="FFFFFF"/>
                <w:kern w:val="0"/>
                <w:sz w:val="28"/>
                <w:szCs w:val="28"/>
              </w:rPr>
              <w:t>（30分）</w:t>
            </w:r>
          </w:p>
        </w:tc>
        <w:tc>
          <w:tcPr>
            <w:tcW w:w="1666" w:type="dxa"/>
            <w:shd w:val="clear" w:color="auto" w:fill="00B0F0"/>
            <w:noWrap w:val="0"/>
            <w:vAlign w:val="center"/>
          </w:tcPr>
          <w:p>
            <w:pPr>
              <w:widowControl/>
              <w:spacing w:line="240" w:lineRule="exact"/>
              <w:jc w:val="center"/>
              <w:textAlignment w:val="center"/>
              <w:rPr>
                <w:rFonts w:cs="仿宋_GB2312"/>
                <w:b/>
                <w:bCs/>
                <w:color w:val="FFFFFF"/>
                <w:kern w:val="0"/>
                <w:sz w:val="28"/>
                <w:szCs w:val="28"/>
              </w:rPr>
            </w:pPr>
            <w:r>
              <w:rPr>
                <w:rFonts w:hint="eastAsia" w:cs="仿宋_GB2312"/>
                <w:b/>
                <w:bCs/>
                <w:color w:val="FFFFFF"/>
                <w:kern w:val="0"/>
                <w:sz w:val="28"/>
                <w:szCs w:val="28"/>
              </w:rPr>
              <w:t>项目满意度</w:t>
            </w:r>
          </w:p>
          <w:p>
            <w:pPr>
              <w:widowControl/>
              <w:spacing w:line="240" w:lineRule="exact"/>
              <w:jc w:val="center"/>
              <w:textAlignment w:val="center"/>
              <w:rPr>
                <w:rFonts w:cs="仿宋_GB2312"/>
                <w:b/>
                <w:bCs/>
                <w:color w:val="FFFFFF"/>
                <w:sz w:val="28"/>
                <w:szCs w:val="28"/>
              </w:rPr>
            </w:pPr>
            <w:r>
              <w:rPr>
                <w:rFonts w:hint="eastAsia" w:cs="仿宋_GB2312"/>
                <w:b/>
                <w:bCs/>
                <w:color w:val="FFFFFF"/>
                <w:kern w:val="0"/>
                <w:sz w:val="28"/>
                <w:szCs w:val="28"/>
              </w:rPr>
              <w:t>（10分）</w:t>
            </w:r>
          </w:p>
        </w:tc>
        <w:tc>
          <w:tcPr>
            <w:tcW w:w="1250" w:type="dxa"/>
            <w:shd w:val="clear" w:color="auto" w:fill="00B0F0"/>
            <w:noWrap w:val="0"/>
            <w:vAlign w:val="center"/>
          </w:tcPr>
          <w:p>
            <w:pPr>
              <w:widowControl/>
              <w:spacing w:line="240" w:lineRule="exact"/>
              <w:jc w:val="center"/>
              <w:textAlignment w:val="center"/>
              <w:rPr>
                <w:rFonts w:cs="仿宋_GB2312"/>
                <w:b/>
                <w:bCs/>
                <w:color w:val="FFFFFF"/>
                <w:sz w:val="28"/>
                <w:szCs w:val="28"/>
              </w:rPr>
            </w:pPr>
            <w:r>
              <w:rPr>
                <w:rFonts w:hint="eastAsia" w:cs="仿宋_GB2312"/>
                <w:b/>
                <w:bCs/>
                <w:color w:val="FFFFFF"/>
                <w:kern w:val="0"/>
                <w:sz w:val="28"/>
                <w:szCs w:val="28"/>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trPr>
        <w:tc>
          <w:tcPr>
            <w:tcW w:w="1757" w:type="dxa"/>
            <w:noWrap w:val="0"/>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kern w:val="0"/>
                <w:sz w:val="24"/>
                <w:szCs w:val="24"/>
              </w:rPr>
              <w:t>执法办案设备更新维护经费</w:t>
            </w:r>
          </w:p>
        </w:tc>
        <w:tc>
          <w:tcPr>
            <w:tcW w:w="13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567" w:type="dxa"/>
            <w:noWrap w:val="0"/>
            <w:vAlign w:val="center"/>
          </w:tcPr>
          <w:p>
            <w:pPr>
              <w:jc w:val="center"/>
              <w:rPr>
                <w:rFonts w:eastAsia="仿宋" w:cs="仿宋"/>
                <w:color w:val="000000"/>
                <w:sz w:val="24"/>
                <w:szCs w:val="24"/>
              </w:rPr>
            </w:pPr>
            <w:r>
              <w:rPr>
                <w:rFonts w:hint="eastAsia" w:eastAsia="仿宋" w:cs="仿宋"/>
                <w:color w:val="000000"/>
                <w:sz w:val="24"/>
                <w:szCs w:val="24"/>
              </w:rPr>
              <w:t>50</w:t>
            </w:r>
          </w:p>
        </w:tc>
        <w:tc>
          <w:tcPr>
            <w:tcW w:w="1467" w:type="dxa"/>
            <w:noWrap w:val="0"/>
            <w:vAlign w:val="center"/>
          </w:tcPr>
          <w:p>
            <w:pPr>
              <w:jc w:val="center"/>
              <w:rPr>
                <w:rFonts w:eastAsia="仿宋" w:cs="仿宋"/>
                <w:color w:val="000000"/>
                <w:sz w:val="24"/>
                <w:szCs w:val="24"/>
              </w:rPr>
            </w:pPr>
            <w:r>
              <w:rPr>
                <w:rFonts w:hint="eastAsia" w:eastAsia="仿宋" w:cs="仿宋"/>
                <w:color w:val="000000"/>
                <w:sz w:val="24"/>
                <w:szCs w:val="24"/>
              </w:rPr>
              <w:t>25</w:t>
            </w:r>
          </w:p>
        </w:tc>
        <w:tc>
          <w:tcPr>
            <w:tcW w:w="16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250" w:type="dxa"/>
            <w:noWrap w:val="0"/>
            <w:vAlign w:val="center"/>
          </w:tcPr>
          <w:p>
            <w:pPr>
              <w:jc w:val="center"/>
              <w:rPr>
                <w:rFonts w:eastAsia="仿宋" w:cs="仿宋"/>
                <w:color w:val="000000"/>
                <w:sz w:val="24"/>
                <w:szCs w:val="24"/>
              </w:rPr>
            </w:pPr>
            <w:r>
              <w:rPr>
                <w:rFonts w:hint="eastAsia" w:eastAsia="仿宋" w:cs="仿宋"/>
                <w:color w:val="00000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757" w:type="dxa"/>
            <w:noWrap w:val="0"/>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kern w:val="0"/>
                <w:sz w:val="24"/>
                <w:szCs w:val="24"/>
              </w:rPr>
              <w:t>打击传销、打非经费</w:t>
            </w:r>
          </w:p>
        </w:tc>
        <w:tc>
          <w:tcPr>
            <w:tcW w:w="13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567" w:type="dxa"/>
            <w:noWrap w:val="0"/>
            <w:vAlign w:val="center"/>
          </w:tcPr>
          <w:p>
            <w:pPr>
              <w:jc w:val="center"/>
              <w:rPr>
                <w:rFonts w:eastAsia="仿宋" w:cs="仿宋"/>
                <w:color w:val="000000"/>
                <w:sz w:val="24"/>
                <w:szCs w:val="24"/>
              </w:rPr>
            </w:pPr>
            <w:r>
              <w:rPr>
                <w:rFonts w:hint="eastAsia" w:eastAsia="仿宋" w:cs="仿宋"/>
                <w:color w:val="000000"/>
                <w:sz w:val="24"/>
                <w:szCs w:val="24"/>
              </w:rPr>
              <w:t>50</w:t>
            </w:r>
          </w:p>
        </w:tc>
        <w:tc>
          <w:tcPr>
            <w:tcW w:w="1467" w:type="dxa"/>
            <w:noWrap w:val="0"/>
            <w:vAlign w:val="center"/>
          </w:tcPr>
          <w:p>
            <w:pPr>
              <w:jc w:val="center"/>
              <w:rPr>
                <w:rFonts w:eastAsia="仿宋" w:cs="仿宋"/>
                <w:color w:val="000000"/>
                <w:sz w:val="24"/>
                <w:szCs w:val="24"/>
              </w:rPr>
            </w:pPr>
            <w:r>
              <w:rPr>
                <w:rFonts w:hint="eastAsia" w:eastAsia="仿宋" w:cs="仿宋"/>
                <w:color w:val="000000"/>
                <w:sz w:val="24"/>
                <w:szCs w:val="24"/>
              </w:rPr>
              <w:t>28</w:t>
            </w:r>
          </w:p>
        </w:tc>
        <w:tc>
          <w:tcPr>
            <w:tcW w:w="16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250" w:type="dxa"/>
            <w:noWrap w:val="0"/>
            <w:vAlign w:val="center"/>
          </w:tcPr>
          <w:p>
            <w:pPr>
              <w:jc w:val="center"/>
              <w:rPr>
                <w:rFonts w:eastAsia="仿宋" w:cs="仿宋"/>
                <w:color w:val="000000"/>
                <w:sz w:val="24"/>
                <w:szCs w:val="24"/>
              </w:rPr>
            </w:pPr>
            <w:r>
              <w:rPr>
                <w:rFonts w:hint="eastAsia" w:eastAsia="仿宋" w:cs="仿宋"/>
                <w:color w:val="000000"/>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trPr>
        <w:tc>
          <w:tcPr>
            <w:tcW w:w="1757" w:type="dxa"/>
            <w:noWrap w:val="0"/>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kern w:val="0"/>
                <w:sz w:val="24"/>
                <w:szCs w:val="24"/>
              </w:rPr>
              <w:t>消费者权益保护</w:t>
            </w:r>
          </w:p>
        </w:tc>
        <w:tc>
          <w:tcPr>
            <w:tcW w:w="13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567" w:type="dxa"/>
            <w:noWrap w:val="0"/>
            <w:vAlign w:val="center"/>
          </w:tcPr>
          <w:p>
            <w:pPr>
              <w:jc w:val="center"/>
              <w:rPr>
                <w:rFonts w:eastAsia="仿宋" w:cs="仿宋"/>
                <w:color w:val="000000"/>
                <w:sz w:val="24"/>
                <w:szCs w:val="24"/>
              </w:rPr>
            </w:pPr>
            <w:r>
              <w:rPr>
                <w:rFonts w:hint="eastAsia" w:eastAsia="仿宋" w:cs="仿宋"/>
                <w:color w:val="000000"/>
                <w:sz w:val="24"/>
                <w:szCs w:val="24"/>
              </w:rPr>
              <w:t>50</w:t>
            </w:r>
          </w:p>
        </w:tc>
        <w:tc>
          <w:tcPr>
            <w:tcW w:w="1467" w:type="dxa"/>
            <w:noWrap w:val="0"/>
            <w:vAlign w:val="center"/>
          </w:tcPr>
          <w:p>
            <w:pPr>
              <w:jc w:val="center"/>
              <w:rPr>
                <w:rFonts w:eastAsia="仿宋" w:cs="仿宋"/>
                <w:color w:val="000000"/>
                <w:sz w:val="24"/>
                <w:szCs w:val="24"/>
              </w:rPr>
            </w:pPr>
            <w:r>
              <w:rPr>
                <w:rFonts w:hint="eastAsia" w:eastAsia="仿宋" w:cs="仿宋"/>
                <w:color w:val="000000"/>
                <w:sz w:val="24"/>
                <w:szCs w:val="24"/>
              </w:rPr>
              <w:t>30</w:t>
            </w:r>
          </w:p>
        </w:tc>
        <w:tc>
          <w:tcPr>
            <w:tcW w:w="1666" w:type="dxa"/>
            <w:noWrap w:val="0"/>
            <w:vAlign w:val="center"/>
          </w:tcPr>
          <w:p>
            <w:pPr>
              <w:jc w:val="center"/>
              <w:rPr>
                <w:rFonts w:eastAsia="仿宋" w:cs="仿宋"/>
                <w:color w:val="000000"/>
                <w:sz w:val="24"/>
                <w:szCs w:val="24"/>
              </w:rPr>
            </w:pPr>
            <w:r>
              <w:rPr>
                <w:rFonts w:hint="eastAsia" w:eastAsia="仿宋" w:cs="仿宋"/>
                <w:color w:val="000000"/>
                <w:sz w:val="24"/>
                <w:szCs w:val="24"/>
              </w:rPr>
              <w:t>8</w:t>
            </w:r>
          </w:p>
        </w:tc>
        <w:tc>
          <w:tcPr>
            <w:tcW w:w="1250" w:type="dxa"/>
            <w:noWrap w:val="0"/>
            <w:vAlign w:val="center"/>
          </w:tcPr>
          <w:p>
            <w:pPr>
              <w:jc w:val="center"/>
              <w:rPr>
                <w:rFonts w:eastAsia="仿宋" w:cs="仿宋"/>
                <w:color w:val="000000"/>
                <w:sz w:val="24"/>
                <w:szCs w:val="24"/>
              </w:rPr>
            </w:pPr>
            <w:r>
              <w:rPr>
                <w:rFonts w:hint="eastAsia" w:eastAsia="仿宋" w:cs="仿宋"/>
                <w:color w:val="000000"/>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757" w:type="dxa"/>
            <w:noWrap w:val="0"/>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kern w:val="0"/>
                <w:sz w:val="24"/>
                <w:szCs w:val="24"/>
              </w:rPr>
              <w:t>产品质量管理和监督行政执法</w:t>
            </w:r>
          </w:p>
        </w:tc>
        <w:tc>
          <w:tcPr>
            <w:tcW w:w="13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567" w:type="dxa"/>
            <w:noWrap w:val="0"/>
            <w:vAlign w:val="center"/>
          </w:tcPr>
          <w:p>
            <w:pPr>
              <w:jc w:val="center"/>
              <w:rPr>
                <w:rFonts w:eastAsia="仿宋" w:cs="仿宋"/>
                <w:color w:val="000000"/>
                <w:sz w:val="24"/>
                <w:szCs w:val="24"/>
              </w:rPr>
            </w:pPr>
            <w:r>
              <w:rPr>
                <w:rFonts w:hint="eastAsia" w:eastAsia="仿宋" w:cs="仿宋"/>
                <w:color w:val="000000"/>
                <w:sz w:val="24"/>
                <w:szCs w:val="24"/>
              </w:rPr>
              <w:t>50</w:t>
            </w:r>
          </w:p>
        </w:tc>
        <w:tc>
          <w:tcPr>
            <w:tcW w:w="1467" w:type="dxa"/>
            <w:noWrap w:val="0"/>
            <w:vAlign w:val="center"/>
          </w:tcPr>
          <w:p>
            <w:pPr>
              <w:jc w:val="center"/>
              <w:rPr>
                <w:rFonts w:eastAsia="仿宋" w:cs="仿宋"/>
                <w:color w:val="000000"/>
                <w:sz w:val="24"/>
                <w:szCs w:val="24"/>
              </w:rPr>
            </w:pPr>
            <w:r>
              <w:rPr>
                <w:rFonts w:hint="eastAsia" w:eastAsia="仿宋" w:cs="仿宋"/>
                <w:color w:val="000000"/>
                <w:sz w:val="24"/>
                <w:szCs w:val="24"/>
              </w:rPr>
              <w:t>26</w:t>
            </w:r>
          </w:p>
        </w:tc>
        <w:tc>
          <w:tcPr>
            <w:tcW w:w="1666" w:type="dxa"/>
            <w:noWrap w:val="0"/>
            <w:vAlign w:val="center"/>
          </w:tcPr>
          <w:p>
            <w:pPr>
              <w:jc w:val="center"/>
              <w:rPr>
                <w:rFonts w:eastAsia="仿宋" w:cs="仿宋"/>
                <w:color w:val="000000"/>
                <w:sz w:val="24"/>
                <w:szCs w:val="24"/>
              </w:rPr>
            </w:pPr>
            <w:r>
              <w:rPr>
                <w:rFonts w:hint="eastAsia" w:eastAsia="仿宋" w:cs="仿宋"/>
                <w:color w:val="000000"/>
                <w:sz w:val="24"/>
                <w:szCs w:val="24"/>
              </w:rPr>
              <w:t>8</w:t>
            </w:r>
          </w:p>
        </w:tc>
        <w:tc>
          <w:tcPr>
            <w:tcW w:w="1250" w:type="dxa"/>
            <w:noWrap w:val="0"/>
            <w:vAlign w:val="center"/>
          </w:tcPr>
          <w:p>
            <w:pPr>
              <w:jc w:val="center"/>
              <w:rPr>
                <w:rFonts w:eastAsia="仿宋" w:cs="仿宋"/>
                <w:color w:val="000000"/>
                <w:sz w:val="24"/>
                <w:szCs w:val="24"/>
              </w:rPr>
            </w:pPr>
            <w:r>
              <w:rPr>
                <w:rFonts w:hint="eastAsia" w:eastAsia="仿宋" w:cs="仿宋"/>
                <w:color w:val="000000"/>
                <w:sz w:val="24"/>
                <w:szCs w:val="24"/>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trPr>
        <w:tc>
          <w:tcPr>
            <w:tcW w:w="1757" w:type="dxa"/>
            <w:noWrap w:val="0"/>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kern w:val="0"/>
                <w:sz w:val="24"/>
                <w:szCs w:val="24"/>
              </w:rPr>
              <w:t>特种设备监管</w:t>
            </w:r>
          </w:p>
        </w:tc>
        <w:tc>
          <w:tcPr>
            <w:tcW w:w="13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567" w:type="dxa"/>
            <w:noWrap w:val="0"/>
            <w:vAlign w:val="center"/>
          </w:tcPr>
          <w:p>
            <w:pPr>
              <w:jc w:val="center"/>
              <w:rPr>
                <w:rFonts w:eastAsia="仿宋" w:cs="仿宋"/>
                <w:color w:val="000000"/>
                <w:sz w:val="24"/>
                <w:szCs w:val="24"/>
              </w:rPr>
            </w:pPr>
            <w:r>
              <w:rPr>
                <w:rFonts w:hint="eastAsia" w:eastAsia="仿宋" w:cs="仿宋"/>
                <w:color w:val="000000"/>
                <w:sz w:val="24"/>
                <w:szCs w:val="24"/>
              </w:rPr>
              <w:t>50</w:t>
            </w:r>
          </w:p>
        </w:tc>
        <w:tc>
          <w:tcPr>
            <w:tcW w:w="1467" w:type="dxa"/>
            <w:noWrap w:val="0"/>
            <w:vAlign w:val="center"/>
          </w:tcPr>
          <w:p>
            <w:pPr>
              <w:jc w:val="center"/>
              <w:rPr>
                <w:rFonts w:eastAsia="仿宋" w:cs="仿宋"/>
                <w:color w:val="000000"/>
                <w:sz w:val="24"/>
                <w:szCs w:val="24"/>
              </w:rPr>
            </w:pPr>
            <w:r>
              <w:rPr>
                <w:rFonts w:hint="eastAsia" w:eastAsia="仿宋" w:cs="仿宋"/>
                <w:color w:val="000000"/>
                <w:sz w:val="24"/>
                <w:szCs w:val="24"/>
              </w:rPr>
              <w:t>26</w:t>
            </w:r>
          </w:p>
        </w:tc>
        <w:tc>
          <w:tcPr>
            <w:tcW w:w="1666" w:type="dxa"/>
            <w:noWrap w:val="0"/>
            <w:vAlign w:val="center"/>
          </w:tcPr>
          <w:p>
            <w:pPr>
              <w:jc w:val="center"/>
              <w:rPr>
                <w:rFonts w:eastAsia="仿宋" w:cs="仿宋"/>
                <w:color w:val="000000"/>
                <w:sz w:val="24"/>
                <w:szCs w:val="24"/>
              </w:rPr>
            </w:pPr>
            <w:r>
              <w:rPr>
                <w:rFonts w:hint="eastAsia" w:eastAsia="仿宋" w:cs="仿宋"/>
                <w:color w:val="000000"/>
                <w:sz w:val="24"/>
                <w:szCs w:val="24"/>
              </w:rPr>
              <w:t>8.5</w:t>
            </w:r>
          </w:p>
        </w:tc>
        <w:tc>
          <w:tcPr>
            <w:tcW w:w="1250" w:type="dxa"/>
            <w:noWrap w:val="0"/>
            <w:vAlign w:val="center"/>
          </w:tcPr>
          <w:p>
            <w:pPr>
              <w:jc w:val="center"/>
              <w:rPr>
                <w:rFonts w:eastAsia="仿宋" w:cs="仿宋"/>
                <w:color w:val="000000"/>
                <w:sz w:val="24"/>
                <w:szCs w:val="24"/>
              </w:rPr>
            </w:pPr>
            <w:r>
              <w:rPr>
                <w:rFonts w:hint="eastAsia" w:eastAsia="仿宋" w:cs="仿宋"/>
                <w:color w:val="000000"/>
                <w:sz w:val="24"/>
                <w:szCs w:val="24"/>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757" w:type="dxa"/>
            <w:noWrap w:val="0"/>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kern w:val="0"/>
                <w:sz w:val="24"/>
                <w:szCs w:val="24"/>
              </w:rPr>
              <w:t>协管站建设</w:t>
            </w:r>
          </w:p>
        </w:tc>
        <w:tc>
          <w:tcPr>
            <w:tcW w:w="13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567" w:type="dxa"/>
            <w:noWrap w:val="0"/>
            <w:vAlign w:val="center"/>
          </w:tcPr>
          <w:p>
            <w:pPr>
              <w:jc w:val="center"/>
              <w:rPr>
                <w:rFonts w:eastAsia="仿宋" w:cs="仿宋"/>
                <w:color w:val="000000"/>
                <w:sz w:val="24"/>
                <w:szCs w:val="24"/>
              </w:rPr>
            </w:pPr>
            <w:r>
              <w:rPr>
                <w:rFonts w:hint="eastAsia" w:eastAsia="仿宋" w:cs="仿宋"/>
                <w:color w:val="000000"/>
                <w:sz w:val="24"/>
                <w:szCs w:val="24"/>
              </w:rPr>
              <w:t>50</w:t>
            </w:r>
          </w:p>
        </w:tc>
        <w:tc>
          <w:tcPr>
            <w:tcW w:w="1467" w:type="dxa"/>
            <w:noWrap w:val="0"/>
            <w:vAlign w:val="center"/>
          </w:tcPr>
          <w:p>
            <w:pPr>
              <w:jc w:val="center"/>
              <w:rPr>
                <w:rFonts w:eastAsia="仿宋" w:cs="仿宋"/>
                <w:color w:val="000000"/>
                <w:sz w:val="24"/>
                <w:szCs w:val="24"/>
              </w:rPr>
            </w:pPr>
            <w:r>
              <w:rPr>
                <w:rFonts w:hint="eastAsia" w:eastAsia="仿宋" w:cs="仿宋"/>
                <w:color w:val="000000"/>
                <w:sz w:val="24"/>
                <w:szCs w:val="24"/>
              </w:rPr>
              <w:t>28</w:t>
            </w:r>
          </w:p>
        </w:tc>
        <w:tc>
          <w:tcPr>
            <w:tcW w:w="1666" w:type="dxa"/>
            <w:noWrap w:val="0"/>
            <w:vAlign w:val="center"/>
          </w:tcPr>
          <w:p>
            <w:pPr>
              <w:jc w:val="center"/>
              <w:rPr>
                <w:rFonts w:eastAsia="仿宋" w:cs="仿宋"/>
                <w:color w:val="000000"/>
                <w:sz w:val="24"/>
                <w:szCs w:val="24"/>
              </w:rPr>
            </w:pPr>
            <w:r>
              <w:rPr>
                <w:rFonts w:hint="eastAsia" w:eastAsia="仿宋" w:cs="仿宋"/>
                <w:color w:val="000000"/>
                <w:sz w:val="24"/>
                <w:szCs w:val="24"/>
              </w:rPr>
              <w:t>8.5</w:t>
            </w:r>
          </w:p>
        </w:tc>
        <w:tc>
          <w:tcPr>
            <w:tcW w:w="1250" w:type="dxa"/>
            <w:noWrap w:val="0"/>
            <w:vAlign w:val="center"/>
          </w:tcPr>
          <w:p>
            <w:pPr>
              <w:jc w:val="center"/>
              <w:rPr>
                <w:rFonts w:eastAsia="仿宋" w:cs="仿宋"/>
                <w:color w:val="000000"/>
                <w:sz w:val="24"/>
                <w:szCs w:val="24"/>
              </w:rPr>
            </w:pPr>
            <w:r>
              <w:rPr>
                <w:rFonts w:hint="eastAsia" w:eastAsia="仿宋" w:cs="仿宋"/>
                <w:color w:val="000000"/>
                <w:sz w:val="24"/>
                <w:szCs w:val="24"/>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trPr>
        <w:tc>
          <w:tcPr>
            <w:tcW w:w="1757" w:type="dxa"/>
            <w:noWrap w:val="0"/>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kern w:val="0"/>
                <w:sz w:val="24"/>
                <w:szCs w:val="24"/>
              </w:rPr>
              <w:t>食品安全城市工作经费</w:t>
            </w:r>
          </w:p>
        </w:tc>
        <w:tc>
          <w:tcPr>
            <w:tcW w:w="13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567" w:type="dxa"/>
            <w:noWrap w:val="0"/>
            <w:vAlign w:val="center"/>
          </w:tcPr>
          <w:p>
            <w:pPr>
              <w:jc w:val="center"/>
              <w:rPr>
                <w:rFonts w:eastAsia="仿宋" w:cs="仿宋"/>
                <w:color w:val="000000"/>
                <w:sz w:val="24"/>
                <w:szCs w:val="24"/>
              </w:rPr>
            </w:pPr>
            <w:r>
              <w:rPr>
                <w:rFonts w:hint="eastAsia" w:eastAsia="仿宋" w:cs="仿宋"/>
                <w:color w:val="000000"/>
                <w:sz w:val="24"/>
                <w:szCs w:val="24"/>
              </w:rPr>
              <w:t>50</w:t>
            </w:r>
          </w:p>
        </w:tc>
        <w:tc>
          <w:tcPr>
            <w:tcW w:w="1467" w:type="dxa"/>
            <w:noWrap w:val="0"/>
            <w:vAlign w:val="center"/>
          </w:tcPr>
          <w:p>
            <w:pPr>
              <w:jc w:val="center"/>
              <w:rPr>
                <w:rFonts w:eastAsia="仿宋" w:cs="仿宋"/>
                <w:color w:val="000000"/>
                <w:sz w:val="24"/>
                <w:szCs w:val="24"/>
              </w:rPr>
            </w:pPr>
            <w:r>
              <w:rPr>
                <w:rFonts w:hint="eastAsia" w:eastAsia="仿宋" w:cs="仿宋"/>
                <w:color w:val="000000"/>
                <w:sz w:val="24"/>
                <w:szCs w:val="24"/>
              </w:rPr>
              <w:t>25</w:t>
            </w:r>
          </w:p>
        </w:tc>
        <w:tc>
          <w:tcPr>
            <w:tcW w:w="1666" w:type="dxa"/>
            <w:noWrap w:val="0"/>
            <w:vAlign w:val="center"/>
          </w:tcPr>
          <w:p>
            <w:pPr>
              <w:jc w:val="center"/>
              <w:rPr>
                <w:rFonts w:eastAsia="仿宋" w:cs="仿宋"/>
                <w:color w:val="000000"/>
                <w:sz w:val="24"/>
                <w:szCs w:val="24"/>
              </w:rPr>
            </w:pPr>
            <w:r>
              <w:rPr>
                <w:rFonts w:hint="eastAsia" w:eastAsia="仿宋" w:cs="仿宋"/>
                <w:color w:val="000000"/>
                <w:sz w:val="24"/>
                <w:szCs w:val="24"/>
              </w:rPr>
              <w:t>8.5</w:t>
            </w:r>
          </w:p>
        </w:tc>
        <w:tc>
          <w:tcPr>
            <w:tcW w:w="1250" w:type="dxa"/>
            <w:noWrap w:val="0"/>
            <w:vAlign w:val="center"/>
          </w:tcPr>
          <w:p>
            <w:pPr>
              <w:jc w:val="center"/>
              <w:rPr>
                <w:rFonts w:eastAsia="仿宋" w:cs="仿宋"/>
                <w:color w:val="000000"/>
                <w:sz w:val="24"/>
                <w:szCs w:val="24"/>
              </w:rPr>
            </w:pPr>
            <w:r>
              <w:rPr>
                <w:rFonts w:hint="eastAsia" w:eastAsia="仿宋" w:cs="仿宋"/>
                <w:color w:val="000000"/>
                <w:sz w:val="24"/>
                <w:szCs w:val="24"/>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757" w:type="dxa"/>
            <w:noWrap w:val="0"/>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kern w:val="0"/>
                <w:sz w:val="24"/>
                <w:szCs w:val="24"/>
              </w:rPr>
              <w:t>食品药品监督管理工作经费</w:t>
            </w:r>
          </w:p>
        </w:tc>
        <w:tc>
          <w:tcPr>
            <w:tcW w:w="13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567" w:type="dxa"/>
            <w:noWrap w:val="0"/>
            <w:vAlign w:val="center"/>
          </w:tcPr>
          <w:p>
            <w:pPr>
              <w:jc w:val="center"/>
              <w:rPr>
                <w:rFonts w:eastAsia="仿宋" w:cs="仿宋"/>
                <w:color w:val="000000"/>
                <w:sz w:val="24"/>
                <w:szCs w:val="24"/>
              </w:rPr>
            </w:pPr>
            <w:r>
              <w:rPr>
                <w:rFonts w:hint="eastAsia" w:eastAsia="仿宋" w:cs="仿宋"/>
                <w:color w:val="000000"/>
                <w:sz w:val="24"/>
                <w:szCs w:val="24"/>
              </w:rPr>
              <w:t>50</w:t>
            </w:r>
          </w:p>
        </w:tc>
        <w:tc>
          <w:tcPr>
            <w:tcW w:w="1467" w:type="dxa"/>
            <w:noWrap w:val="0"/>
            <w:vAlign w:val="center"/>
          </w:tcPr>
          <w:p>
            <w:pPr>
              <w:jc w:val="center"/>
              <w:rPr>
                <w:rFonts w:eastAsia="仿宋" w:cs="仿宋"/>
                <w:color w:val="000000"/>
                <w:sz w:val="24"/>
                <w:szCs w:val="24"/>
              </w:rPr>
            </w:pPr>
            <w:r>
              <w:rPr>
                <w:rFonts w:hint="eastAsia" w:eastAsia="仿宋" w:cs="仿宋"/>
                <w:color w:val="000000"/>
                <w:sz w:val="24"/>
                <w:szCs w:val="24"/>
              </w:rPr>
              <w:t>23</w:t>
            </w:r>
          </w:p>
        </w:tc>
        <w:tc>
          <w:tcPr>
            <w:tcW w:w="1666" w:type="dxa"/>
            <w:noWrap w:val="0"/>
            <w:vAlign w:val="center"/>
          </w:tcPr>
          <w:p>
            <w:pPr>
              <w:jc w:val="center"/>
              <w:rPr>
                <w:rFonts w:eastAsia="仿宋" w:cs="仿宋"/>
                <w:color w:val="000000"/>
                <w:sz w:val="24"/>
                <w:szCs w:val="24"/>
              </w:rPr>
            </w:pPr>
            <w:r>
              <w:rPr>
                <w:rFonts w:hint="eastAsia" w:eastAsia="仿宋" w:cs="仿宋"/>
                <w:color w:val="000000"/>
                <w:sz w:val="24"/>
                <w:szCs w:val="24"/>
              </w:rPr>
              <w:t>8.5</w:t>
            </w:r>
          </w:p>
        </w:tc>
        <w:tc>
          <w:tcPr>
            <w:tcW w:w="1250" w:type="dxa"/>
            <w:noWrap w:val="0"/>
            <w:vAlign w:val="center"/>
          </w:tcPr>
          <w:p>
            <w:pPr>
              <w:jc w:val="center"/>
              <w:rPr>
                <w:rFonts w:eastAsia="仿宋" w:cs="仿宋"/>
                <w:color w:val="000000"/>
                <w:sz w:val="24"/>
                <w:szCs w:val="24"/>
              </w:rPr>
            </w:pPr>
            <w:r>
              <w:rPr>
                <w:rFonts w:hint="eastAsia" w:eastAsia="仿宋" w:cs="仿宋"/>
                <w:color w:val="000000"/>
                <w:sz w:val="24"/>
                <w:szCs w:val="24"/>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trPr>
        <w:tc>
          <w:tcPr>
            <w:tcW w:w="1757" w:type="dxa"/>
            <w:noWrap w:val="0"/>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kern w:val="0"/>
                <w:sz w:val="24"/>
                <w:szCs w:val="24"/>
              </w:rPr>
              <w:t>基层分局工作经费</w:t>
            </w:r>
          </w:p>
        </w:tc>
        <w:tc>
          <w:tcPr>
            <w:tcW w:w="13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567" w:type="dxa"/>
            <w:noWrap w:val="0"/>
            <w:vAlign w:val="center"/>
          </w:tcPr>
          <w:p>
            <w:pPr>
              <w:jc w:val="center"/>
              <w:rPr>
                <w:rFonts w:eastAsia="仿宋" w:cs="仿宋"/>
                <w:color w:val="000000"/>
                <w:sz w:val="24"/>
                <w:szCs w:val="24"/>
              </w:rPr>
            </w:pPr>
            <w:r>
              <w:rPr>
                <w:rFonts w:hint="eastAsia" w:eastAsia="仿宋" w:cs="仿宋"/>
                <w:color w:val="000000"/>
                <w:sz w:val="24"/>
                <w:szCs w:val="24"/>
              </w:rPr>
              <w:t>50</w:t>
            </w:r>
          </w:p>
        </w:tc>
        <w:tc>
          <w:tcPr>
            <w:tcW w:w="1467" w:type="dxa"/>
            <w:noWrap w:val="0"/>
            <w:vAlign w:val="center"/>
          </w:tcPr>
          <w:p>
            <w:pPr>
              <w:jc w:val="center"/>
              <w:rPr>
                <w:rFonts w:eastAsia="仿宋" w:cs="仿宋"/>
                <w:color w:val="000000"/>
                <w:sz w:val="24"/>
                <w:szCs w:val="24"/>
              </w:rPr>
            </w:pPr>
            <w:r>
              <w:rPr>
                <w:rFonts w:hint="eastAsia" w:eastAsia="仿宋" w:cs="仿宋"/>
                <w:color w:val="000000"/>
                <w:sz w:val="24"/>
                <w:szCs w:val="24"/>
              </w:rPr>
              <w:t>25</w:t>
            </w:r>
          </w:p>
        </w:tc>
        <w:tc>
          <w:tcPr>
            <w:tcW w:w="1666" w:type="dxa"/>
            <w:noWrap w:val="0"/>
            <w:vAlign w:val="center"/>
          </w:tcPr>
          <w:p>
            <w:pPr>
              <w:jc w:val="center"/>
              <w:rPr>
                <w:rFonts w:eastAsia="仿宋" w:cs="仿宋"/>
                <w:color w:val="000000"/>
                <w:sz w:val="24"/>
                <w:szCs w:val="24"/>
              </w:rPr>
            </w:pPr>
            <w:r>
              <w:rPr>
                <w:rFonts w:hint="eastAsia" w:eastAsia="仿宋" w:cs="仿宋"/>
                <w:color w:val="000000"/>
                <w:sz w:val="24"/>
                <w:szCs w:val="24"/>
              </w:rPr>
              <w:t>8.5</w:t>
            </w:r>
          </w:p>
        </w:tc>
        <w:tc>
          <w:tcPr>
            <w:tcW w:w="1250" w:type="dxa"/>
            <w:noWrap w:val="0"/>
            <w:vAlign w:val="center"/>
          </w:tcPr>
          <w:p>
            <w:pPr>
              <w:jc w:val="center"/>
              <w:rPr>
                <w:rFonts w:eastAsia="仿宋" w:cs="仿宋"/>
                <w:color w:val="000000"/>
                <w:sz w:val="24"/>
                <w:szCs w:val="24"/>
              </w:rPr>
            </w:pPr>
            <w:r>
              <w:rPr>
                <w:rFonts w:hint="eastAsia" w:eastAsia="仿宋" w:cs="仿宋"/>
                <w:color w:val="000000"/>
                <w:sz w:val="24"/>
                <w:szCs w:val="24"/>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757" w:type="dxa"/>
            <w:noWrap w:val="0"/>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kern w:val="0"/>
                <w:sz w:val="24"/>
                <w:szCs w:val="24"/>
              </w:rPr>
              <w:t>信息化建设工作经费</w:t>
            </w:r>
          </w:p>
        </w:tc>
        <w:tc>
          <w:tcPr>
            <w:tcW w:w="13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567" w:type="dxa"/>
            <w:noWrap w:val="0"/>
            <w:vAlign w:val="center"/>
          </w:tcPr>
          <w:p>
            <w:pPr>
              <w:jc w:val="center"/>
              <w:rPr>
                <w:rFonts w:eastAsia="仿宋" w:cs="仿宋"/>
                <w:color w:val="000000"/>
                <w:sz w:val="24"/>
                <w:szCs w:val="24"/>
              </w:rPr>
            </w:pPr>
            <w:r>
              <w:rPr>
                <w:rFonts w:hint="eastAsia" w:eastAsia="仿宋" w:cs="仿宋"/>
                <w:color w:val="000000"/>
                <w:sz w:val="24"/>
                <w:szCs w:val="24"/>
              </w:rPr>
              <w:t>50</w:t>
            </w:r>
          </w:p>
        </w:tc>
        <w:tc>
          <w:tcPr>
            <w:tcW w:w="1467" w:type="dxa"/>
            <w:noWrap w:val="0"/>
            <w:vAlign w:val="center"/>
          </w:tcPr>
          <w:p>
            <w:pPr>
              <w:jc w:val="center"/>
              <w:rPr>
                <w:rFonts w:eastAsia="仿宋" w:cs="仿宋"/>
                <w:color w:val="000000"/>
                <w:sz w:val="24"/>
                <w:szCs w:val="24"/>
              </w:rPr>
            </w:pPr>
            <w:r>
              <w:rPr>
                <w:rFonts w:hint="eastAsia" w:eastAsia="仿宋" w:cs="仿宋"/>
                <w:color w:val="000000"/>
                <w:sz w:val="24"/>
                <w:szCs w:val="24"/>
              </w:rPr>
              <w:t>23</w:t>
            </w:r>
          </w:p>
        </w:tc>
        <w:tc>
          <w:tcPr>
            <w:tcW w:w="1666" w:type="dxa"/>
            <w:noWrap w:val="0"/>
            <w:vAlign w:val="center"/>
          </w:tcPr>
          <w:p>
            <w:pPr>
              <w:jc w:val="center"/>
              <w:rPr>
                <w:rFonts w:eastAsia="仿宋" w:cs="仿宋"/>
                <w:color w:val="000000"/>
                <w:sz w:val="24"/>
                <w:szCs w:val="24"/>
              </w:rPr>
            </w:pPr>
            <w:r>
              <w:rPr>
                <w:rFonts w:hint="eastAsia" w:eastAsia="仿宋" w:cs="仿宋"/>
                <w:color w:val="000000"/>
                <w:sz w:val="24"/>
                <w:szCs w:val="24"/>
              </w:rPr>
              <w:t>8.5</w:t>
            </w:r>
          </w:p>
        </w:tc>
        <w:tc>
          <w:tcPr>
            <w:tcW w:w="1250" w:type="dxa"/>
            <w:noWrap w:val="0"/>
            <w:vAlign w:val="center"/>
          </w:tcPr>
          <w:p>
            <w:pPr>
              <w:jc w:val="center"/>
              <w:rPr>
                <w:rFonts w:eastAsia="仿宋" w:cs="仿宋"/>
                <w:color w:val="000000"/>
                <w:sz w:val="24"/>
                <w:szCs w:val="24"/>
              </w:rPr>
            </w:pPr>
            <w:r>
              <w:rPr>
                <w:rFonts w:hint="eastAsia" w:eastAsia="仿宋" w:cs="仿宋"/>
                <w:color w:val="000000"/>
                <w:sz w:val="24"/>
                <w:szCs w:val="24"/>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trPr>
        <w:tc>
          <w:tcPr>
            <w:tcW w:w="1757" w:type="dxa"/>
            <w:noWrap w:val="0"/>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kern w:val="0"/>
                <w:sz w:val="24"/>
                <w:szCs w:val="24"/>
              </w:rPr>
              <w:t>扫黑除恶工作经费</w:t>
            </w:r>
          </w:p>
        </w:tc>
        <w:tc>
          <w:tcPr>
            <w:tcW w:w="13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567" w:type="dxa"/>
            <w:noWrap w:val="0"/>
            <w:vAlign w:val="center"/>
          </w:tcPr>
          <w:p>
            <w:pPr>
              <w:jc w:val="center"/>
              <w:rPr>
                <w:rFonts w:eastAsia="仿宋" w:cs="仿宋"/>
                <w:color w:val="000000"/>
                <w:sz w:val="24"/>
                <w:szCs w:val="24"/>
              </w:rPr>
            </w:pPr>
            <w:r>
              <w:rPr>
                <w:rFonts w:hint="eastAsia" w:eastAsia="仿宋" w:cs="仿宋"/>
                <w:color w:val="000000"/>
                <w:sz w:val="24"/>
                <w:szCs w:val="24"/>
              </w:rPr>
              <w:t>50</w:t>
            </w:r>
          </w:p>
        </w:tc>
        <w:tc>
          <w:tcPr>
            <w:tcW w:w="1467" w:type="dxa"/>
            <w:noWrap w:val="0"/>
            <w:vAlign w:val="center"/>
          </w:tcPr>
          <w:p>
            <w:pPr>
              <w:jc w:val="center"/>
              <w:rPr>
                <w:rFonts w:eastAsia="仿宋" w:cs="仿宋"/>
                <w:color w:val="000000"/>
                <w:sz w:val="24"/>
                <w:szCs w:val="24"/>
              </w:rPr>
            </w:pPr>
            <w:r>
              <w:rPr>
                <w:rFonts w:hint="eastAsia" w:eastAsia="仿宋" w:cs="仿宋"/>
                <w:color w:val="000000"/>
                <w:sz w:val="24"/>
                <w:szCs w:val="24"/>
              </w:rPr>
              <w:t>28</w:t>
            </w:r>
          </w:p>
        </w:tc>
        <w:tc>
          <w:tcPr>
            <w:tcW w:w="1666" w:type="dxa"/>
            <w:noWrap w:val="0"/>
            <w:vAlign w:val="center"/>
          </w:tcPr>
          <w:p>
            <w:pPr>
              <w:jc w:val="center"/>
              <w:rPr>
                <w:rFonts w:eastAsia="仿宋" w:cs="仿宋"/>
                <w:color w:val="000000"/>
                <w:sz w:val="24"/>
                <w:szCs w:val="24"/>
              </w:rPr>
            </w:pPr>
            <w:r>
              <w:rPr>
                <w:rFonts w:hint="eastAsia" w:eastAsia="仿宋" w:cs="仿宋"/>
                <w:color w:val="000000"/>
                <w:sz w:val="24"/>
                <w:szCs w:val="24"/>
              </w:rPr>
              <w:t>8.5</w:t>
            </w:r>
          </w:p>
        </w:tc>
        <w:tc>
          <w:tcPr>
            <w:tcW w:w="1250" w:type="dxa"/>
            <w:noWrap w:val="0"/>
            <w:vAlign w:val="center"/>
          </w:tcPr>
          <w:p>
            <w:pPr>
              <w:jc w:val="center"/>
              <w:rPr>
                <w:rFonts w:eastAsia="仿宋" w:cs="仿宋"/>
                <w:color w:val="000000"/>
                <w:sz w:val="24"/>
                <w:szCs w:val="24"/>
              </w:rPr>
            </w:pPr>
            <w:r>
              <w:rPr>
                <w:rFonts w:hint="eastAsia" w:eastAsia="仿宋" w:cs="仿宋"/>
                <w:color w:val="000000"/>
                <w:sz w:val="24"/>
                <w:szCs w:val="24"/>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757" w:type="dxa"/>
            <w:noWrap w:val="0"/>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kern w:val="0"/>
                <w:sz w:val="24"/>
                <w:szCs w:val="24"/>
              </w:rPr>
              <w:t>党建工作经费</w:t>
            </w:r>
          </w:p>
        </w:tc>
        <w:tc>
          <w:tcPr>
            <w:tcW w:w="13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567" w:type="dxa"/>
            <w:noWrap w:val="0"/>
            <w:vAlign w:val="center"/>
          </w:tcPr>
          <w:p>
            <w:pPr>
              <w:jc w:val="center"/>
              <w:rPr>
                <w:rFonts w:eastAsia="仿宋" w:cs="仿宋"/>
                <w:color w:val="000000"/>
                <w:sz w:val="24"/>
                <w:szCs w:val="24"/>
              </w:rPr>
            </w:pPr>
            <w:r>
              <w:rPr>
                <w:rFonts w:hint="eastAsia" w:eastAsia="仿宋" w:cs="仿宋"/>
                <w:color w:val="000000"/>
                <w:sz w:val="24"/>
                <w:szCs w:val="24"/>
              </w:rPr>
              <w:t>50</w:t>
            </w:r>
          </w:p>
        </w:tc>
        <w:tc>
          <w:tcPr>
            <w:tcW w:w="1467" w:type="dxa"/>
            <w:noWrap w:val="0"/>
            <w:vAlign w:val="center"/>
          </w:tcPr>
          <w:p>
            <w:pPr>
              <w:jc w:val="center"/>
              <w:rPr>
                <w:rFonts w:eastAsia="仿宋" w:cs="仿宋"/>
                <w:color w:val="000000"/>
                <w:sz w:val="24"/>
                <w:szCs w:val="24"/>
              </w:rPr>
            </w:pPr>
            <w:r>
              <w:rPr>
                <w:rFonts w:hint="eastAsia" w:eastAsia="仿宋" w:cs="仿宋"/>
                <w:color w:val="000000"/>
                <w:sz w:val="24"/>
                <w:szCs w:val="24"/>
              </w:rPr>
              <w:t>25</w:t>
            </w:r>
          </w:p>
        </w:tc>
        <w:tc>
          <w:tcPr>
            <w:tcW w:w="1666" w:type="dxa"/>
            <w:noWrap w:val="0"/>
            <w:vAlign w:val="center"/>
          </w:tcPr>
          <w:p>
            <w:pPr>
              <w:jc w:val="center"/>
              <w:rPr>
                <w:rFonts w:eastAsia="仿宋" w:cs="仿宋"/>
                <w:color w:val="000000"/>
                <w:sz w:val="24"/>
                <w:szCs w:val="24"/>
              </w:rPr>
            </w:pPr>
            <w:r>
              <w:rPr>
                <w:rFonts w:hint="eastAsia" w:eastAsia="仿宋" w:cs="仿宋"/>
                <w:color w:val="000000"/>
                <w:sz w:val="24"/>
                <w:szCs w:val="24"/>
              </w:rPr>
              <w:t>10</w:t>
            </w:r>
          </w:p>
        </w:tc>
        <w:tc>
          <w:tcPr>
            <w:tcW w:w="1250" w:type="dxa"/>
            <w:noWrap w:val="0"/>
            <w:vAlign w:val="center"/>
          </w:tcPr>
          <w:p>
            <w:pPr>
              <w:jc w:val="center"/>
              <w:rPr>
                <w:rFonts w:eastAsia="仿宋" w:cs="仿宋"/>
                <w:color w:val="000000"/>
                <w:sz w:val="24"/>
                <w:szCs w:val="24"/>
              </w:rPr>
            </w:pPr>
            <w:r>
              <w:rPr>
                <w:rFonts w:hint="eastAsia" w:eastAsia="仿宋" w:cs="仿宋"/>
                <w:color w:val="000000"/>
                <w:sz w:val="24"/>
                <w:szCs w:val="24"/>
              </w:rPr>
              <w:t>95</w:t>
            </w:r>
          </w:p>
        </w:tc>
      </w:tr>
    </w:tbl>
    <w:p>
      <w:pPr>
        <w:pStyle w:val="2"/>
        <w:ind w:firstLine="600"/>
      </w:pPr>
    </w:p>
    <w:p>
      <w:pPr>
        <w:spacing w:line="360" w:lineRule="auto"/>
        <w:ind w:firstLine="640" w:firstLineChars="200"/>
        <w:rPr>
          <w:rFonts w:ascii="黑体" w:hAnsi="黑体" w:eastAsia="黑体"/>
          <w:sz w:val="32"/>
          <w:szCs w:val="32"/>
        </w:rPr>
      </w:pPr>
      <w:r>
        <w:rPr>
          <w:rFonts w:hint="eastAsia" w:ascii="黑体" w:hAnsi="黑体" w:eastAsia="黑体"/>
          <w:sz w:val="32"/>
          <w:szCs w:val="32"/>
        </w:rPr>
        <w:t>四、绩效目标完成情况总体分析</w:t>
      </w:r>
    </w:p>
    <w:p>
      <w:pPr>
        <w:spacing w:line="360" w:lineRule="auto"/>
        <w:ind w:firstLine="602" w:firstLineChars="200"/>
        <w:rPr>
          <w:rFonts w:hint="eastAsia" w:ascii="仿宋" w:hAnsi="仿宋" w:eastAsia="仿宋" w:cs="仿宋"/>
          <w:b/>
          <w:sz w:val="30"/>
          <w:szCs w:val="30"/>
        </w:rPr>
      </w:pPr>
      <w:r>
        <w:rPr>
          <w:rFonts w:hint="eastAsia" w:ascii="仿宋" w:hAnsi="仿宋" w:eastAsia="仿宋" w:cs="仿宋"/>
          <w:b/>
          <w:sz w:val="30"/>
          <w:szCs w:val="30"/>
        </w:rPr>
        <w:t>（一）资金管理情况分析</w:t>
      </w:r>
    </w:p>
    <w:p>
      <w:pPr>
        <w:spacing w:line="360" w:lineRule="auto"/>
        <w:ind w:firstLine="640"/>
        <w:jc w:val="left"/>
        <w:rPr>
          <w:rFonts w:hint="eastAsia" w:ascii="仿宋" w:hAnsi="仿宋" w:eastAsia="仿宋" w:cs="仿宋"/>
          <w:sz w:val="30"/>
          <w:szCs w:val="30"/>
        </w:rPr>
      </w:pPr>
      <w:r>
        <w:rPr>
          <w:rFonts w:hint="eastAsia" w:ascii="仿宋" w:hAnsi="仿宋" w:eastAsia="仿宋" w:cs="仿宋"/>
          <w:sz w:val="30"/>
          <w:szCs w:val="30"/>
        </w:rPr>
        <w:t>我单位严格执行财务管理制度。同时积极争取财政资金的足额预算和及时下达;做好项目方案的起草制定和修改，对项目的政策依据进行严格把关;督促项目按进度实施;做到会计核算的规范性，做好项目的调整，做到专款专用，做好项目结余和结转;确保资金的支付依据符合规定;健全财务制度并认真执行;做到资金使用的及时性并按照方案完成项目。</w:t>
      </w:r>
    </w:p>
    <w:p>
      <w:pPr>
        <w:spacing w:line="360" w:lineRule="auto"/>
        <w:ind w:firstLine="602" w:firstLineChars="200"/>
        <w:rPr>
          <w:rFonts w:hint="eastAsia" w:ascii="仿宋" w:hAnsi="仿宋" w:eastAsia="仿宋" w:cs="仿宋"/>
          <w:b/>
          <w:sz w:val="30"/>
          <w:szCs w:val="30"/>
        </w:rPr>
      </w:pPr>
      <w:r>
        <w:rPr>
          <w:rFonts w:hint="eastAsia" w:ascii="仿宋" w:hAnsi="仿宋" w:eastAsia="仿宋" w:cs="仿宋"/>
          <w:b/>
          <w:sz w:val="30"/>
          <w:szCs w:val="30"/>
        </w:rPr>
        <w:t>（二）总体绩效目标完成情况分析。</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2021年我单位项目实施主要工作绩效如下：</w:t>
      </w:r>
    </w:p>
    <w:p>
      <w:pPr>
        <w:spacing w:line="360" w:lineRule="auto"/>
        <w:ind w:firstLine="602" w:firstLineChars="200"/>
        <w:rPr>
          <w:rFonts w:hint="eastAsia" w:ascii="仿宋" w:hAnsi="仿宋" w:eastAsia="仿宋" w:cs="仿宋"/>
          <w:spacing w:val="-2"/>
          <w:sz w:val="30"/>
          <w:szCs w:val="30"/>
          <w:lang w:val="zh-TW"/>
        </w:rPr>
      </w:pPr>
      <w:r>
        <w:rPr>
          <w:rFonts w:hint="eastAsia" w:ascii="仿宋" w:hAnsi="仿宋" w:eastAsia="仿宋" w:cs="仿宋"/>
          <w:b/>
          <w:bCs/>
          <w:sz w:val="30"/>
          <w:szCs w:val="30"/>
        </w:rPr>
        <w:t>一是</w:t>
      </w:r>
      <w:r>
        <w:rPr>
          <w:rFonts w:hint="eastAsia" w:ascii="仿宋" w:hAnsi="仿宋" w:eastAsia="仿宋" w:cs="仿宋"/>
          <w:sz w:val="30"/>
          <w:szCs w:val="30"/>
        </w:rPr>
        <w:t>“</w:t>
      </w:r>
      <w:r>
        <w:rPr>
          <w:rFonts w:hint="eastAsia" w:ascii="仿宋" w:hAnsi="仿宋" w:eastAsia="仿宋" w:cs="仿宋"/>
          <w:b/>
          <w:bCs/>
          <w:color w:val="000000"/>
          <w:sz w:val="30"/>
          <w:szCs w:val="30"/>
        </w:rPr>
        <w:t>执法办案设备更新维护经费</w:t>
      </w:r>
      <w:r>
        <w:rPr>
          <w:rFonts w:hint="eastAsia" w:ascii="仿宋" w:hAnsi="仿宋" w:eastAsia="仿宋" w:cs="仿宋"/>
          <w:sz w:val="30"/>
          <w:szCs w:val="30"/>
        </w:rPr>
        <w:t>”</w:t>
      </w:r>
      <w:r>
        <w:rPr>
          <w:rFonts w:hint="eastAsia" w:ascii="仿宋" w:hAnsi="仿宋" w:eastAsia="仿宋" w:cs="仿宋"/>
          <w:spacing w:val="-2"/>
          <w:sz w:val="30"/>
          <w:szCs w:val="30"/>
          <w:lang w:val="zh-TW"/>
        </w:rPr>
        <w:t>着力打造“互联网+”智慧市场监管平台，探索构建网上网下一体化监管模式，监管执法精准化智能化网络化水平显著提升。</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二是“</w:t>
      </w:r>
      <w:r>
        <w:rPr>
          <w:rFonts w:hint="eastAsia" w:ascii="仿宋" w:hAnsi="仿宋" w:eastAsia="仿宋" w:cs="仿宋"/>
          <w:b/>
          <w:bCs/>
          <w:color w:val="000000"/>
          <w:sz w:val="30"/>
          <w:szCs w:val="30"/>
        </w:rPr>
        <w:t>打击传销、打非经费</w:t>
      </w:r>
      <w:r>
        <w:rPr>
          <w:rFonts w:hint="eastAsia" w:ascii="仿宋" w:hAnsi="仿宋" w:eastAsia="仿宋" w:cs="仿宋"/>
          <w:b/>
          <w:bCs/>
          <w:sz w:val="30"/>
          <w:szCs w:val="30"/>
        </w:rPr>
        <w:t>”</w:t>
      </w:r>
      <w:r>
        <w:rPr>
          <w:rFonts w:hint="eastAsia" w:ascii="仿宋" w:hAnsi="仿宋" w:eastAsia="仿宋" w:cs="仿宋"/>
          <w:sz w:val="30"/>
          <w:szCs w:val="30"/>
        </w:rPr>
        <w:t>以习近平新时代中国特色社会主义思想为指导，深入贯彻落实全国打传工作会议精神，充分发挥新媒体和传统媒体的宣传作用，创新宣传方式方法，营造强大的典论氛国，震慑传销人员，挤除传销活动生存空间，形成抵制传销、举投传销、打击传销的强大社会氛围。</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三是“</w:t>
      </w:r>
      <w:r>
        <w:rPr>
          <w:rFonts w:hint="eastAsia" w:ascii="仿宋" w:hAnsi="仿宋" w:eastAsia="仿宋" w:cs="仿宋"/>
          <w:b/>
          <w:bCs/>
          <w:color w:val="000000"/>
          <w:sz w:val="30"/>
          <w:szCs w:val="30"/>
        </w:rPr>
        <w:t>消费者权益保护</w:t>
      </w:r>
      <w:r>
        <w:rPr>
          <w:rFonts w:hint="eastAsia" w:ascii="仿宋" w:hAnsi="仿宋" w:eastAsia="仿宋" w:cs="仿宋"/>
          <w:b/>
          <w:bCs/>
          <w:sz w:val="30"/>
          <w:szCs w:val="30"/>
        </w:rPr>
        <w:t>”</w:t>
      </w:r>
      <w:r>
        <w:rPr>
          <w:rFonts w:hint="eastAsia" w:ascii="仿宋" w:hAnsi="仿宋" w:eastAsia="仿宋" w:cs="仿宋"/>
          <w:sz w:val="30"/>
          <w:szCs w:val="30"/>
        </w:rPr>
        <w:t>积极处理投诉举报，切实保障消费者合法权益。进一步完善了12315、12345热线投诉举报及信访受理处置程序，认真做好新划转的物价监督职能投诉协调工作。</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四是“</w:t>
      </w:r>
      <w:r>
        <w:rPr>
          <w:rFonts w:hint="eastAsia" w:ascii="仿宋" w:hAnsi="仿宋" w:eastAsia="仿宋" w:cs="仿宋"/>
          <w:b/>
          <w:bCs/>
          <w:color w:val="000000"/>
          <w:sz w:val="30"/>
          <w:szCs w:val="30"/>
        </w:rPr>
        <w:t>产品质量管理和监督行政执法</w:t>
      </w:r>
      <w:r>
        <w:rPr>
          <w:rFonts w:hint="eastAsia" w:ascii="仿宋" w:hAnsi="仿宋" w:eastAsia="仿宋" w:cs="仿宋"/>
          <w:b/>
          <w:bCs/>
          <w:sz w:val="30"/>
          <w:szCs w:val="30"/>
        </w:rPr>
        <w:t>”</w:t>
      </w:r>
      <w:r>
        <w:rPr>
          <w:rFonts w:hint="eastAsia" w:ascii="仿宋" w:hAnsi="仿宋" w:eastAsia="仿宋" w:cs="仿宋"/>
          <w:sz w:val="30"/>
          <w:szCs w:val="30"/>
        </w:rPr>
        <w:t>开展产品质量抽查，提高全社会质量意识，落实企业质量主体责任，切实维护市场秩序，着力优化营商环境，为推动质量提升行动和质量强市建设提供了有力支撑。</w:t>
      </w:r>
    </w:p>
    <w:p>
      <w:pPr>
        <w:spacing w:line="360" w:lineRule="auto"/>
        <w:ind w:firstLine="602" w:firstLineChars="200"/>
        <w:rPr>
          <w:rFonts w:hint="eastAsia" w:ascii="仿宋" w:hAnsi="仿宋" w:eastAsia="仿宋" w:cs="仿宋"/>
          <w:bCs/>
          <w:sz w:val="30"/>
          <w:szCs w:val="30"/>
        </w:rPr>
      </w:pPr>
      <w:r>
        <w:rPr>
          <w:rFonts w:hint="eastAsia" w:ascii="仿宋" w:hAnsi="仿宋" w:eastAsia="仿宋" w:cs="仿宋"/>
          <w:b/>
          <w:bCs/>
          <w:sz w:val="30"/>
          <w:szCs w:val="30"/>
        </w:rPr>
        <w:t>五是“</w:t>
      </w:r>
      <w:r>
        <w:rPr>
          <w:rFonts w:hint="eastAsia" w:ascii="仿宋" w:hAnsi="仿宋" w:eastAsia="仿宋" w:cs="仿宋"/>
          <w:b/>
          <w:bCs/>
          <w:color w:val="000000"/>
          <w:sz w:val="30"/>
          <w:szCs w:val="30"/>
        </w:rPr>
        <w:t>特种设备监管</w:t>
      </w:r>
      <w:r>
        <w:rPr>
          <w:rFonts w:hint="eastAsia" w:ascii="仿宋" w:hAnsi="仿宋" w:eastAsia="仿宋" w:cs="仿宋"/>
          <w:b/>
          <w:bCs/>
          <w:sz w:val="30"/>
          <w:szCs w:val="30"/>
        </w:rPr>
        <w:t>”</w:t>
      </w:r>
      <w:r>
        <w:rPr>
          <w:rFonts w:hint="eastAsia" w:ascii="仿宋" w:hAnsi="仿宋" w:eastAsia="仿宋" w:cs="仿宋"/>
          <w:bCs/>
          <w:sz w:val="30"/>
          <w:szCs w:val="30"/>
        </w:rPr>
        <w:t>坚持日常监管与专项检查并重，确保特种设备安全运行。开展了气瓶充装站、电梯安全物联网、特种设备安全生产明察暗访、</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"http://sgj.nc.gov.cn/ncsgj/mlnc/202109/6f8c5b9efef94e5dadce58cad4e02ce8.shtml" \t "http://sgj.nc.gov.cn/ncsgj/search/_blank" \o "湾里市场监督管理局扎实开展“双节”特种设备安全大检查" </w:instrText>
      </w:r>
      <w:r>
        <w:rPr>
          <w:rFonts w:hint="eastAsia" w:ascii="仿宋" w:hAnsi="仿宋" w:eastAsia="仿宋" w:cs="仿宋"/>
          <w:sz w:val="30"/>
          <w:szCs w:val="30"/>
        </w:rPr>
        <w:fldChar w:fldCharType="separate"/>
      </w:r>
      <w:r>
        <w:rPr>
          <w:rFonts w:hint="eastAsia" w:ascii="仿宋" w:hAnsi="仿宋" w:eastAsia="仿宋" w:cs="仿宋"/>
          <w:bCs/>
          <w:sz w:val="30"/>
          <w:szCs w:val="30"/>
        </w:rPr>
        <w:t>“双节”特种设备安全大检查</w:t>
      </w:r>
      <w:r>
        <w:rPr>
          <w:rFonts w:hint="eastAsia" w:ascii="仿宋" w:hAnsi="仿宋" w:eastAsia="仿宋" w:cs="仿宋"/>
          <w:bCs/>
          <w:sz w:val="30"/>
          <w:szCs w:val="30"/>
        </w:rPr>
        <w:fldChar w:fldCharType="end"/>
      </w:r>
      <w:r>
        <w:rPr>
          <w:rFonts w:hint="eastAsia" w:ascii="仿宋" w:hAnsi="仿宋" w:eastAsia="仿宋" w:cs="仿宋"/>
          <w:bCs/>
          <w:sz w:val="30"/>
          <w:szCs w:val="30"/>
        </w:rPr>
        <w:t>、安全生产专项整治行动大检查三年行动“攻坚战”、</w:t>
      </w:r>
      <w:r>
        <w:rPr>
          <w:rFonts w:hint="eastAsia" w:ascii="仿宋" w:hAnsi="仿宋" w:eastAsia="仿宋" w:cs="仿宋"/>
          <w:sz w:val="30"/>
          <w:szCs w:val="30"/>
        </w:rPr>
        <w:t>水泥、电线电缆专项检查</w:t>
      </w:r>
      <w:r>
        <w:rPr>
          <w:rFonts w:hint="eastAsia" w:ascii="仿宋" w:hAnsi="仿宋" w:eastAsia="仿宋" w:cs="仿宋"/>
          <w:bCs/>
          <w:sz w:val="30"/>
          <w:szCs w:val="30"/>
        </w:rPr>
        <w:t>等专项整治活动。</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六是“</w:t>
      </w:r>
      <w:r>
        <w:rPr>
          <w:rFonts w:hint="eastAsia" w:ascii="仿宋" w:hAnsi="仿宋" w:eastAsia="仿宋" w:cs="仿宋"/>
          <w:b/>
          <w:bCs/>
          <w:color w:val="000000"/>
          <w:sz w:val="30"/>
          <w:szCs w:val="30"/>
        </w:rPr>
        <w:t>协管站建设</w:t>
      </w:r>
      <w:r>
        <w:rPr>
          <w:rFonts w:hint="eastAsia" w:ascii="仿宋" w:hAnsi="仿宋" w:eastAsia="仿宋" w:cs="仿宋"/>
          <w:b/>
          <w:bCs/>
          <w:sz w:val="30"/>
          <w:szCs w:val="30"/>
        </w:rPr>
        <w:t>”</w:t>
      </w:r>
      <w:r>
        <w:rPr>
          <w:rFonts w:hint="eastAsia" w:ascii="仿宋" w:hAnsi="仿宋" w:eastAsia="仿宋" w:cs="仿宋"/>
          <w:sz w:val="30"/>
          <w:szCs w:val="30"/>
        </w:rPr>
        <w:t>切实加强重点领域监管，确保辖区内食品药品、特种设备及产品质量三大安全，实现了机构改革期间各项工作的平稳过渡和有序推进。</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七是“</w:t>
      </w:r>
      <w:r>
        <w:rPr>
          <w:rFonts w:hint="eastAsia" w:ascii="仿宋" w:hAnsi="仿宋" w:eastAsia="仿宋" w:cs="仿宋"/>
          <w:b/>
          <w:bCs/>
          <w:color w:val="000000"/>
          <w:sz w:val="30"/>
          <w:szCs w:val="30"/>
        </w:rPr>
        <w:t>食品安全城市工作经费</w:t>
      </w:r>
      <w:r>
        <w:rPr>
          <w:rFonts w:hint="eastAsia" w:ascii="仿宋" w:hAnsi="仿宋" w:eastAsia="仿宋" w:cs="仿宋"/>
          <w:b/>
          <w:bCs/>
          <w:sz w:val="30"/>
          <w:szCs w:val="30"/>
        </w:rPr>
        <w:t>”</w:t>
      </w:r>
      <w:r>
        <w:rPr>
          <w:rFonts w:hint="eastAsia" w:ascii="仿宋" w:hAnsi="仿宋" w:eastAsia="仿宋" w:cs="仿宋"/>
          <w:sz w:val="30"/>
          <w:szCs w:val="30"/>
        </w:rPr>
        <w:t>积极推进食安城创建。牵头成立湾里管理局食品安全委员会办公室，并负责起草《关于调整湾里管理局食品安全委员会成员及成员单位职责的请示》《2021年湾里管理局食品安全重点工作安排》《湾里管理局食品安全事故应急预案（修订稿）》，对2021年湾里管理局食品安全4大版块共计21项重点工作进行了整体谋划和布局，推进食品安全监管工作有序开展。</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八是“</w:t>
      </w:r>
      <w:r>
        <w:rPr>
          <w:rFonts w:hint="eastAsia" w:ascii="仿宋" w:hAnsi="仿宋" w:eastAsia="仿宋" w:cs="仿宋"/>
          <w:b/>
          <w:bCs/>
          <w:color w:val="000000"/>
          <w:sz w:val="30"/>
          <w:szCs w:val="30"/>
        </w:rPr>
        <w:t>食品药品监督管理工作经费</w:t>
      </w:r>
      <w:r>
        <w:rPr>
          <w:rFonts w:hint="eastAsia" w:ascii="仿宋" w:hAnsi="仿宋" w:eastAsia="仿宋" w:cs="仿宋"/>
          <w:b/>
          <w:bCs/>
          <w:sz w:val="30"/>
          <w:szCs w:val="30"/>
        </w:rPr>
        <w:t>”</w:t>
      </w:r>
      <w:r>
        <w:rPr>
          <w:rFonts w:hint="eastAsia" w:ascii="仿宋" w:hAnsi="仿宋" w:eastAsia="仿宋" w:cs="仿宋"/>
          <w:sz w:val="30"/>
          <w:szCs w:val="30"/>
        </w:rPr>
        <w:t>开展食品药品监督检查及整治行动，切实消除食品药品安全风险隐患，在统筹考虑省、市、县三级抽检工作的基础上，每季度均衡开展（每季度抽检批次约占年度三级抽检批次总量的 25%）。在抽检工作的覆盖性方面，一是要求结合国抽、省抽、县抽，对全市范围内的生产企业、已备案的食品加工小作坊覆盖率达到 80%；二是要覆盖城区、城乡结合部及农村等不同区域，抽检范围覆盖商场超市、集贸市场、批发市场、小食杂店、餐饮单位、学校食堂、集中供餐单位等不同业态，场所规模要覆盖大、中、小不同规模的食品生产经营者，并以中、小规模为主；三是要管控源头，把南昌深圳农产品批发市场、赣昌水产品批发市场作为抽检重点，最大限度防范不合格食用农产品流入下级市场。为有效推进抽检工作进度及保障抽检工作的质量，市局将定期通报各单位抽检工作的进度及均衡性。</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九是“</w:t>
      </w:r>
      <w:r>
        <w:rPr>
          <w:rFonts w:hint="eastAsia" w:ascii="仿宋" w:hAnsi="仿宋" w:eastAsia="仿宋" w:cs="仿宋"/>
          <w:b/>
          <w:bCs/>
          <w:color w:val="000000"/>
          <w:sz w:val="30"/>
          <w:szCs w:val="30"/>
        </w:rPr>
        <w:t>基层分局工作经费</w:t>
      </w:r>
      <w:r>
        <w:rPr>
          <w:rFonts w:hint="eastAsia" w:ascii="仿宋" w:hAnsi="仿宋" w:eastAsia="仿宋" w:cs="仿宋"/>
          <w:b/>
          <w:bCs/>
          <w:sz w:val="30"/>
          <w:szCs w:val="30"/>
        </w:rPr>
        <w:t>”</w:t>
      </w:r>
      <w:r>
        <w:rPr>
          <w:rFonts w:hint="eastAsia" w:ascii="仿宋" w:hAnsi="仿宋" w:eastAsia="仿宋" w:cs="仿宋"/>
          <w:sz w:val="30"/>
          <w:szCs w:val="30"/>
        </w:rPr>
        <w:t>切实发挥基层分局部门职能，保障基层分局人员市场监管工作正常开展，全局不发生重大食品和产品安全事故。</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十是“</w:t>
      </w:r>
      <w:r>
        <w:rPr>
          <w:rFonts w:hint="eastAsia" w:ascii="仿宋" w:hAnsi="仿宋" w:eastAsia="仿宋" w:cs="仿宋"/>
          <w:b/>
          <w:bCs/>
          <w:color w:val="000000"/>
          <w:sz w:val="30"/>
          <w:szCs w:val="30"/>
        </w:rPr>
        <w:t>信息化建设工作经费</w:t>
      </w:r>
      <w:r>
        <w:rPr>
          <w:rFonts w:hint="eastAsia" w:ascii="仿宋" w:hAnsi="仿宋" w:eastAsia="仿宋" w:cs="仿宋"/>
          <w:b/>
          <w:bCs/>
          <w:sz w:val="30"/>
          <w:szCs w:val="30"/>
        </w:rPr>
        <w:t>”</w:t>
      </w:r>
      <w:r>
        <w:rPr>
          <w:rFonts w:hint="eastAsia" w:ascii="仿宋" w:hAnsi="仿宋" w:eastAsia="仿宋" w:cs="仿宋"/>
          <w:sz w:val="30"/>
          <w:szCs w:val="30"/>
        </w:rPr>
        <w:t>为进一步全面强化市场监管能力，提升市场监管效率，统一市场监管标准，规范市场监管行为，解决以往市场监管中效率不高、人员不足等问题。</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十一是“</w:t>
      </w:r>
      <w:r>
        <w:rPr>
          <w:rFonts w:hint="eastAsia" w:ascii="仿宋" w:hAnsi="仿宋" w:eastAsia="仿宋" w:cs="仿宋"/>
          <w:b/>
          <w:bCs/>
          <w:color w:val="000000"/>
          <w:sz w:val="30"/>
          <w:szCs w:val="30"/>
        </w:rPr>
        <w:t>扫黑除恶工作经费</w:t>
      </w:r>
      <w:r>
        <w:rPr>
          <w:rFonts w:hint="eastAsia" w:ascii="仿宋" w:hAnsi="仿宋" w:eastAsia="仿宋" w:cs="仿宋"/>
          <w:b/>
          <w:bCs/>
          <w:sz w:val="30"/>
          <w:szCs w:val="30"/>
        </w:rPr>
        <w:t>”</w:t>
      </w:r>
      <w:r>
        <w:rPr>
          <w:rFonts w:hint="eastAsia" w:ascii="仿宋" w:hAnsi="仿宋" w:eastAsia="仿宋" w:cs="仿宋"/>
          <w:sz w:val="30"/>
          <w:szCs w:val="30"/>
        </w:rPr>
        <w:t>坚持以习近平新时代中国特色社会主义思想为知道，认真贯彻落实以习近平同志为核心的党中央关于扫黑除恶的决策部署，以“一十百千万”为抓手，决心不变、标准不降、力度不减，将“六清”行动进行到底，确保依法打深打透、除恶务尽，夺取专项斗争全面胜利。</w:t>
      </w:r>
    </w:p>
    <w:p>
      <w:pPr>
        <w:spacing w:line="360" w:lineRule="auto"/>
        <w:ind w:firstLine="602" w:firstLineChars="200"/>
        <w:rPr>
          <w:rFonts w:hint="eastAsia" w:ascii="仿宋" w:hAnsi="仿宋" w:eastAsia="仿宋" w:cs="仿宋"/>
          <w:color w:val="333333"/>
          <w:sz w:val="30"/>
          <w:szCs w:val="30"/>
          <w:shd w:val="clear" w:color="auto" w:fill="FFFFFF"/>
        </w:rPr>
      </w:pPr>
      <w:r>
        <w:rPr>
          <w:rFonts w:hint="eastAsia" w:ascii="仿宋" w:hAnsi="仿宋" w:eastAsia="仿宋" w:cs="仿宋"/>
          <w:b/>
          <w:bCs/>
          <w:sz w:val="30"/>
          <w:szCs w:val="30"/>
        </w:rPr>
        <w:t>十二是“</w:t>
      </w:r>
      <w:r>
        <w:rPr>
          <w:rFonts w:hint="eastAsia" w:ascii="仿宋" w:hAnsi="仿宋" w:eastAsia="仿宋" w:cs="仿宋"/>
          <w:b/>
          <w:bCs/>
          <w:color w:val="000000"/>
          <w:sz w:val="30"/>
          <w:szCs w:val="30"/>
        </w:rPr>
        <w:t>党建工作经费</w:t>
      </w:r>
      <w:r>
        <w:rPr>
          <w:rFonts w:hint="eastAsia" w:ascii="仿宋" w:hAnsi="仿宋" w:eastAsia="仿宋" w:cs="仿宋"/>
          <w:b/>
          <w:bCs/>
          <w:sz w:val="30"/>
          <w:szCs w:val="30"/>
        </w:rPr>
        <w:t>”</w:t>
      </w:r>
      <w:r>
        <w:rPr>
          <w:rFonts w:hint="eastAsia" w:ascii="仿宋" w:hAnsi="仿宋" w:eastAsia="仿宋" w:cs="仿宋"/>
          <w:color w:val="333333"/>
          <w:sz w:val="30"/>
          <w:szCs w:val="30"/>
          <w:shd w:val="clear" w:color="auto" w:fill="FFFFFF"/>
        </w:rPr>
        <w:t>加强廉政建设。湾里区市监局继续坚持党风廉政建设和业务工作一起抓，同部署、同落实、同考核的原则，加大党风政风行风建设。强化学习意识，加强理论和道德修养。落实好集体学习制度，组织全局干部职工认真学习中央、省、市关于加强干部廉政作风建设有关文件和领导讲话精神,充分认识加强和改进干部廉政作风建设的重要性和必要性，引导党员干部牢固树立廉洁自律意识，倡导勤俭节约、文明健康的良好风气。</w:t>
      </w:r>
    </w:p>
    <w:p>
      <w:pPr>
        <w:spacing w:line="360" w:lineRule="auto"/>
        <w:ind w:firstLine="602" w:firstLineChars="200"/>
        <w:rPr>
          <w:rFonts w:hint="eastAsia" w:ascii="仿宋" w:hAnsi="仿宋" w:eastAsia="仿宋" w:cs="仿宋"/>
          <w:b/>
          <w:sz w:val="30"/>
          <w:szCs w:val="30"/>
        </w:rPr>
      </w:pPr>
      <w:r>
        <w:rPr>
          <w:rFonts w:hint="eastAsia" w:ascii="仿宋" w:hAnsi="仿宋" w:eastAsia="仿宋" w:cs="仿宋"/>
          <w:b/>
          <w:sz w:val="30"/>
          <w:szCs w:val="30"/>
        </w:rPr>
        <w:t>（三）绩效指标完成情况分析。</w:t>
      </w:r>
    </w:p>
    <w:p>
      <w:pPr>
        <w:pStyle w:val="2"/>
        <w:spacing w:line="360" w:lineRule="auto"/>
        <w:ind w:left="0" w:leftChars="0" w:firstLine="643"/>
        <w:rPr>
          <w:rFonts w:hint="eastAsia" w:ascii="仿宋" w:hAnsi="仿宋" w:eastAsia="仿宋" w:cs="仿宋"/>
          <w:b/>
          <w:sz w:val="30"/>
          <w:szCs w:val="30"/>
        </w:rPr>
      </w:pPr>
      <w:r>
        <w:rPr>
          <w:rFonts w:hint="eastAsia" w:ascii="仿宋" w:hAnsi="仿宋" w:eastAsia="仿宋" w:cs="仿宋"/>
          <w:b/>
          <w:sz w:val="30"/>
          <w:szCs w:val="30"/>
        </w:rPr>
        <w:t>1.项目决策情况</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（1）根据《中共南昌市市场监督管理局党组会议纪要》[2021]43号要求，经智慧市场 监管工作专班调度会研究，会议同意采取公开招标方式，为我局工作人员共 31人统一采购两年（2022 年 1 月 1 日至 2023 年 12 月 31 日）智慧市场监管平台运营服务费，预算金额共30万元。</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为深入贯彻落实国家市场监管总局和省、市领导关于打击整治传销一系列重要指示精神，深化2021年打击传销工作，有效巩固整治工作成果，根据《南昌市20221年提档升级严厉打击防范传销工作方案》，在全市范围内开展打击传销宣传活动，安排打击传销、打非经费29.22万元。因此，项目立项有据可依，具有规范性。</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2021年消费者权益保护项目通过财政办批复的《2021年部门预算批复表》，该项目经过部门内部讨论，严格按照程序进行项目的预算申报，并根据项目实际需要和本年度计划工作内容，设定了绩效目标，且目标明确，与预算确定的项目投资额相匹配。</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（4）深入贯彻落实中办、国办《关于深化消防执法改革的意见》(厅宇〔2019〕34 号）和江西省人民政府办公厅《关于深化消防执法改革助力经济社会发展若干措施》（赣府厅字〔2020142号）、江西省消防救援总队《全省消防产品质量三年专项整治行动工作方案》（赣消〔2021〕127 号）、《市场监管总局办公厅关于开展 2021 年消费品质量安全“进社区、进校园、进乡镇”消费者教育活动的通知》（市监质监函(2021 〕1612 号）、南昌市市场监督管理局关于印发《南昌市市场监管局2021年“质量月”活动方案》的通知等有关文件精神，安排产品质量管理和监督行政执法25万元。因此，项目立项有据可依，具有规范性。</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（5）根据《关于重申电梯应急救援处置服务平合建设工作有关要求的通知》赣市监办字 〔2018〕13号）、《江西省市场监管局办公室关于开展起重机械专项整治工作的通知X(赣市监办特设〔2021〕3号）、根据《江西省市场监管局办公室关于进一步加强全省大型游乐设施安全监管工作的通知》（赣市监办特设(2021）5号）、《关于认真做好 2021年“五一”暨汛期特种设备安全保障工作的通知》、《关于开展长输管道公用（燃气）管道气瓶充装安全隐患大排查的紧急通知》、《关于开展电站锅炉和电站锅炉范围内管道隐患排查整治的通知》、《关于开展快开门式压力容器专项隐患排查治理“回头看”的通知》(特设函（2021〕 23 号）、《2021年南昌市特种设备安全监察与节能监管工作要点》、《关于开展液化气充装站燃气管道安全隐患排查的通知》、《江西省市场监管局办公室关手立即开展全省特种设备安全大检查隐患大排查的紧急通知》〔赣市监办特设(2021）11 号）、《关于开展全市厂内车辆安全隐患排查专项整治的通知》、《南昌市安委会关于印发&lt;南昌市 2021年“安全生产月”活动实施方案&gt;的通知》(洪安字 (2021）6号）、《江西省市场监管局办公室关于开展 2021年全省“安全生产月”特种设备专项活动的通知》(赣市监办特设（2021）8 号）、按照市安委会《南昌市安委会关于印发南昌市岁末年初安全生产集中治理百日行动工作方案的通知》《洪安字（2020）10号）、根据《南昌市安全生产专项整治三年行动“十大攻坚战”工作方案》、根据《南昌市安全生产专项整治三年行动“十大攻坚战”工作方案》、《关于贯彻落实全国、全省安全生产电视电话会议精神切实做好春节、“两会”期问安全生产明查暗访和交叉检查工作的通知》（洪安办字[202119 号）等文件要求，安排特种设备监管20万元。因此，项目立项有据可依，具有规范性。</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6）2021年协管站建设项目通过财政办批复的《2021年部门预算批复表》，该项目经过部门内部讨论，严格按照程序进行项目的预算申报，并根据项目实际需要和本年度计划工作内容，设定了绩效目标，且目标明确，与预算确定的项目投资额相匹配。</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7）2021年食品安全城市工作经费项目通过财政办批复的《2021年部门预算批复表》，该项目经过部门内部讨论，严格按照程序进行项目的预算申报，并根据项目实际需要和本年度计划工作内容，设定了绩效目标，且目标明确，与预算确定的项目投资额相匹配。</w:t>
      </w:r>
    </w:p>
    <w:p>
      <w:pPr>
        <w:numPr>
          <w:ilvl w:val="0"/>
          <w:numId w:val="2"/>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根据关于《南昌市食品安全监督抽样检验工作实施方案》的通知，安排食品药品监督管理工作经费65万元。因此，项目立项有据可依，具有规范性。</w:t>
      </w:r>
    </w:p>
    <w:p>
      <w:pPr>
        <w:widowControl/>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9）2021年基层分局工作经费项目通过财政办批复的《2021年部门预算批复表》，该项目经过部门内部讨论，严格按照程序进行项目的预算申报，并根据项目实际需要和本年度计划工作内容，设定了绩效目标，且目标明确，与预算确定的项目投资额相匹配。</w:t>
      </w:r>
    </w:p>
    <w:p>
      <w:pPr>
        <w:widowControl/>
        <w:spacing w:line="360" w:lineRule="auto"/>
        <w:ind w:firstLine="600" w:firstLineChars="200"/>
        <w:jc w:val="left"/>
        <w:rPr>
          <w:rFonts w:hint="eastAsia"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rPr>
        <w:t>（10）</w:t>
      </w:r>
      <w:r>
        <w:rPr>
          <w:rFonts w:hint="eastAsia" w:ascii="仿宋" w:hAnsi="仿宋" w:eastAsia="仿宋" w:cs="仿宋"/>
          <w:sz w:val="30"/>
          <w:szCs w:val="30"/>
        </w:rPr>
        <w:t>2021年信息化建设工作经费项目通过财政办批复的《2021年部门预算批复表》，该项目经过部门内部讨论，严格按照程序进行项目的预算申报，并根据项目实际需要和本年度计划工作内容，设定了绩效目标，且目标明确，与预算确定的项目投资额相匹配。</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（11）根据关于印发《南昌市市场监督管理局常态化扫黑除恶斗争工作要点》的通知，安排扫黑除恶工作经费20万元。因此，项目立项有据可依，具有规范性。</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（12）为认真贯彻落实觉要管党、从严治党的要求，全面落实全市基层党建工作推进会议精神，根据省委办公厅 《关于加强城市基层党建工作的意见（试行)〉的通知》和市委《关于贯彻落实全面从严治党要求加强改进机关党建工作的实施意见》等14个文件精，安排党建工作经费2万元。因此，项目立项有据可依，具有规范性。</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2.项目过程情况</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为了更好的开展我单位项目实施与绩效管理工作。单位根据年度工作安排，进行项目申报和组织实施工作，加强对项目的实施前、实施中、实施后的管理工作。</w:t>
      </w:r>
    </w:p>
    <w:p>
      <w:pPr>
        <w:pStyle w:val="2"/>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3.项目产出情况</w:t>
      </w:r>
    </w:p>
    <w:p>
      <w:pPr>
        <w:pStyle w:val="2"/>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（1）数量指标</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①执法办案设备更新维护经费</w:t>
      </w:r>
    </w:p>
    <w:p>
      <w:pPr>
        <w:pStyle w:val="16"/>
        <w:tabs>
          <w:tab w:val="left" w:pos="1256"/>
        </w:tabs>
        <w:spacing w:line="360" w:lineRule="auto"/>
        <w:ind w:firstLine="641"/>
        <w:rPr>
          <w:rFonts w:hint="eastAsia" w:ascii="仿宋" w:hAnsi="仿宋" w:eastAsia="仿宋" w:cs="仿宋"/>
          <w:sz w:val="30"/>
          <w:szCs w:val="30"/>
          <w:lang w:eastAsia="zh-CN"/>
        </w:rPr>
      </w:pPr>
      <w:r>
        <w:rPr>
          <w:rFonts w:hint="eastAsia" w:ascii="仿宋" w:hAnsi="仿宋" w:eastAsia="仿宋" w:cs="仿宋"/>
          <w:sz w:val="30"/>
          <w:szCs w:val="30"/>
          <w:lang w:eastAsia="zh-CN"/>
        </w:rPr>
        <w:t>随着智慧市场监管平台二期工程基本完成，相关功能模块即将上线运行，智慧市场监管平台终端服务费使用期限至</w:t>
      </w:r>
      <w:r>
        <w:rPr>
          <w:rFonts w:hint="eastAsia" w:ascii="仿宋" w:hAnsi="仿宋" w:eastAsia="仿宋" w:cs="仿宋"/>
          <w:sz w:val="30"/>
          <w:szCs w:val="30"/>
          <w:lang w:val="en-US" w:eastAsia="zh-CN"/>
        </w:rPr>
        <w:t>2021年12月31日。</w:t>
      </w:r>
      <w:r>
        <w:rPr>
          <w:rFonts w:hint="eastAsia" w:ascii="仿宋" w:hAnsi="仿宋" w:eastAsia="仿宋" w:cs="仿宋"/>
          <w:sz w:val="30"/>
          <w:szCs w:val="30"/>
          <w:lang w:eastAsia="zh-CN"/>
        </w:rPr>
        <w:t>为满足市场监管日常工作需要，拟统一采购两年智慧市场监管平台终端服务费。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②打击传销、打非经费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结合扫黑除恶工作，严厉打击传销“清源”行动，2021年度，我局累计出动执法人员200余人，查抄涉嫌传销窝点36个，解救被困人员14人，教育遣送人员81人，积极开展进社区、进校园大型宣传活动7次，接受咨询200余人次，发放各类宣传资料3000余份。</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③消费者权益保护</w:t>
      </w:r>
    </w:p>
    <w:p>
      <w:pPr>
        <w:pStyle w:val="2"/>
        <w:spacing w:line="360" w:lineRule="auto"/>
        <w:ind w:left="0" w:leftChars="0" w:firstLine="640"/>
        <w:rPr>
          <w:rFonts w:hint="eastAsia" w:ascii="仿宋" w:hAnsi="仿宋" w:eastAsia="仿宋" w:cs="仿宋"/>
          <w:sz w:val="32"/>
          <w:szCs w:val="32"/>
        </w:rPr>
      </w:pPr>
      <w:r>
        <w:rPr>
          <w:rFonts w:hint="eastAsia" w:ascii="仿宋" w:hAnsi="仿宋" w:eastAsia="仿宋" w:cs="仿宋"/>
          <w:sz w:val="30"/>
          <w:szCs w:val="30"/>
        </w:rPr>
        <w:t>2021年度，受理现场投诉356起，受理办结12315消费者投诉举报514起，12345政府热线401起，办结率均为100%。</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④产品质量管理和监督行政执法</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截至2021年12月31日，实施了质量提升行动，帮助服务企业4家，帮助2家企业申报了省名牌产品。开展电动自行车整治专项活动，对辖区13家电动自行车销售商进行检查，责令1户停止销售不合格老年代步车。开展学前教育普及普惠督导检查，出动执法人员24余人，车辆6台次，辖区内幼儿园未发现违规情况。开展殡丧用品经营专项整治活动，检查经营户26户，收缴冥币等违规祭品16箱，对私自贩卖纸钱等冥物的商户及个人进行训诫，责令停止销售。开展成品油质量监督抽检工作，对辖区8家加油站经销的汽油、柴油进行全覆盖抽检，已完成18批次抽检。</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⑤特种设备监管</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对辖区内的特种设备使用单位进行安全生产整治，2021年度，共检查特种设备使用单位76家，出动执法人员254人次，车辆95台次，检查特种设备215台，现场下达监察指令书35份。另开展“电梯安全宣传周”、大型游乐设施应急演练等活动，切实向群众宣传普及特种设备安全知识。</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⑥协管站建设</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2021年度，开展食品专项检查工作完成率100%。</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⑦食品安全城市工作经费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针对2021年湾里管理局食品安全4大版块共计21项重点工作进行了整体谋划和布局，推进食品安全监管工作有序开展。</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⑧食品药品监督管理工作经费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1.对辖区内连锁超市、酒店、集贸市场、餐饮业进行核酸检测，累计开展冷链食品相关产品、环境、人员核酸检测2658批次，检测结果均为阴性，其中肉类样本751个批次，水产品样本549个批次，其他食品245个批次，其他环境检测869批次，从业人员核酸检测244人次。坚持疫情防控与日常监管相结合，加强市场巡查力度，出动执法人员1426余人次，下达责令整改通知书37份，责令停业整改5户。</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2.对食品生产聚集区、农村、城乡结合部等重点区域抽检力度。截至目前，省、市、区三级抽检共计423批次，不合格品14批次，合格率96.69%，公示抽检信息12期。对于抽检中发现的问题，立案7起，下达责令整改通知书7份。</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3.2021年度累计出动635人次，执法车辆310余次，开展了校园食品安全、猪肉市场整治、“网红”餐饮、养老机构、夜宵摊等专项治理行动，检查商户1173户，进一步划清市场红线，规范了市场主体行为，切实保障了人民群众“舌尖上的安全”。</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4.实行药品和医疗器械全过程监管，牵头开展医疗器械质量安全风险排查、医疗器械经营领域专项整治，对辖区内26家医疗器械经营单位进行全覆盖监管。认真做好药品不良反应、医疗器械不良事件上报工作。2021年度，药品不良反应器械不良事件完成37例，药品抽检完成10批次。</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⑨基层分局工作经费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截至2021年12月31日，开展食品专项检查工作完成率100%、开展年度产品抽查工作完成率100%。</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⑩信息化建设工作经费</w:t>
      </w:r>
    </w:p>
    <w:p>
      <w:pPr>
        <w:pStyle w:val="2"/>
        <w:spacing w:line="360" w:lineRule="auto"/>
        <w:ind w:left="0" w:leftChars="0" w:firstLine="640"/>
        <w:rPr>
          <w:rFonts w:hint="eastAsia" w:ascii="仿宋" w:hAnsi="仿宋" w:eastAsia="仿宋" w:cs="仿宋"/>
          <w:color w:val="auto"/>
          <w:sz w:val="30"/>
          <w:szCs w:val="30"/>
        </w:rPr>
      </w:pPr>
      <w:r>
        <w:rPr>
          <w:rFonts w:hint="eastAsia" w:ascii="仿宋" w:hAnsi="仿宋" w:eastAsia="仿宋" w:cs="仿宋"/>
          <w:color w:val="auto"/>
          <w:sz w:val="30"/>
          <w:szCs w:val="30"/>
        </w:rPr>
        <w:t>实现监管平台一体化。截至2021年底，平台共整合市场监管事项92项，重点突出13类重点行为、15类重点产品；已接入湾里区域内667个“明厨亮灶”点位、34家阳光药店、2438余台电梯、2711台特种设备运行数据；共对9090户经营主体完成建档，重点行业覆盖率超过99%，共检查各类经营主体2453户次，实现市场监管全程数据化、全程留痕迹、全程可追溯。</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 xml:space="preserve">⑪扫黑除恶工作经费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结合扫黑除恶工作，严厉打击传销“清源”行动，截至目前，我局累计出动执法人员200余人，查抄涉嫌传销窝点36个，解救被困人员14人，教育遣送人员81人，积极开展进社区、进校园大型宣传活动7次，接受咨询200余人次，发放各类宣传资料3000余份。</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⑫党建工作经费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开展了形式多样的宣传学习活动，并教育引导全体党员干部进一步增强“四个意识”</w:t>
      </w:r>
      <w:r>
        <w:rPr>
          <w:rFonts w:hint="eastAsia" w:ascii="仿宋" w:hAnsi="仿宋" w:eastAsia="仿宋" w:cs="仿宋"/>
          <w:sz w:val="30"/>
          <w:szCs w:val="30"/>
          <w:lang w:eastAsia="zh-CN"/>
        </w:rPr>
        <w:t>、</w:t>
      </w:r>
      <w:r>
        <w:rPr>
          <w:rFonts w:hint="eastAsia" w:ascii="仿宋" w:hAnsi="仿宋" w:eastAsia="仿宋" w:cs="仿宋"/>
          <w:sz w:val="30"/>
          <w:szCs w:val="30"/>
        </w:rPr>
        <w:t>坚定“四个自信”</w:t>
      </w:r>
      <w:r>
        <w:rPr>
          <w:rFonts w:hint="eastAsia" w:ascii="仿宋" w:hAnsi="仿宋" w:eastAsia="仿宋" w:cs="仿宋"/>
          <w:sz w:val="30"/>
          <w:szCs w:val="30"/>
          <w:lang w:eastAsia="zh-CN"/>
        </w:rPr>
        <w:t>、</w:t>
      </w:r>
      <w:r>
        <w:rPr>
          <w:rFonts w:hint="eastAsia" w:ascii="仿宋" w:hAnsi="仿宋" w:eastAsia="仿宋" w:cs="仿宋"/>
          <w:sz w:val="30"/>
          <w:szCs w:val="30"/>
        </w:rPr>
        <w:t>做到“两个维护”。</w:t>
      </w:r>
    </w:p>
    <w:p>
      <w:pPr>
        <w:pStyle w:val="2"/>
        <w:numPr>
          <w:ilvl w:val="0"/>
          <w:numId w:val="3"/>
        </w:numPr>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质量指标</w:t>
      </w:r>
      <w:bookmarkStart w:id="0" w:name="_GoBack"/>
      <w:bookmarkEnd w:id="0"/>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①执法办案设备更新维护经费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我单位严格按照采购标准对执法设备进行更新维护，确保设备正常运行，并对采购的设备进行调试验收，合格率100%。</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②打击传销、打非经费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通过对各单位开展宣传工作情况进行督查，跟踪问效，对宣传工作落实不力或宣传成效不佳的，责令整改，进行通报，并作为县区年度平安建设综治考核重要扣分项，确保打传宣传工作氛国浓、成效显著。</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③消费者权益保护</w:t>
      </w:r>
    </w:p>
    <w:p>
      <w:pPr>
        <w:pStyle w:val="2"/>
        <w:spacing w:line="360" w:lineRule="auto"/>
        <w:ind w:left="0" w:leftChars="0" w:firstLine="640"/>
        <w:rPr>
          <w:rFonts w:hint="eastAsia" w:ascii="仿宋" w:hAnsi="仿宋" w:eastAsia="仿宋" w:cs="仿宋"/>
          <w:color w:val="4A4A4A"/>
          <w:sz w:val="30"/>
          <w:szCs w:val="30"/>
          <w:shd w:val="clear" w:color="auto" w:fill="FFFFFF"/>
        </w:rPr>
      </w:pPr>
      <w:r>
        <w:rPr>
          <w:rFonts w:hint="eastAsia" w:ascii="仿宋" w:hAnsi="仿宋" w:eastAsia="仿宋" w:cs="仿宋"/>
          <w:bCs/>
          <w:sz w:val="30"/>
          <w:szCs w:val="30"/>
        </w:rPr>
        <w:t>通过推进121315行政执法体系建设，畅通诉求渠道，实现全国统一平台，12315投诉举报调解率达到95%以上，并及时处理投诉举报事件，办结率100%。</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④产品质量管理和监督行政执法</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通过按照《中共南昌市委南昌市人民政府关于开展质量提升行动加快质量强市建设的实施方案》要求，立足新发展阶段，贯彻新发展理念，构建新发展格局，树立质量第一的强烈意识，组织开展“质量月”活动，推广普及质量知识，提高全社会质量意识，落实企业质量主体责任，切实维护市场秩序，着力优化营商环境，为推动质量提升行动和质量强市建设提供有力支撑，并对抽检伪劣产品不合格的进行训诫，责令停止销售。</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⑤特种设备监管</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通过开展安全隐悲排查治理 “清零”。全面督促本辖区特种设备使用单位开展安全隐惠大排查、大整治，建立健全隐患清单，实行闭环管理。并借助当地特种设备检验检测机构力量，指导帮助企业排查整治隐惠。采取暗查暗访、专项检查、联合执法、综合督查等形式，加大执法检查力度，切实推进隐患“清零”。截至2021年底，企业自查、各级检查发现的一般隐患，全部限期整改到位；重大隐患原则上年内整改到位，确实整改不到位的，严格按照整改措施、任、资金、时限和预案“五到位”要求，确保设备安全运行，隐患整改率100%</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⑥协管站建设</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通过开展食品安全风险排查，紧盯重大节日、重点区域、重要场所，加大食品加工“小作坊”、食品经营“小门店”、食品批发市场、农贸市场安全监管力度提升；并针对食品安全存在有问题及时下发整改通知100%。</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⑦食品安全城市工作经费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推进食品安全城市示范创建，巩固乡镇食安办能力提升建设成果，对照市食安办印发的《县（区、局）食品安全办规范化建设评价验收标准（修订版）》要求，查漏补缺，2021年完成辖区县乡食安办验收工作。</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⑧食品药品监督管理工作经费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通过建立食品安全自查报告制度，定期对企业内部管理、原料采购、生产加工、仓储运输等环节的食品安全状况进行检查评价，发现重大食品安全问题和食品安全事故风险的，要立即停止生产，并向所在地市场监管部门报告。要督促企业落实食品召回制度，从严处置不安全食品，防止问题食品再次流入市场，侵害消费者权益；并对存有食品安全问题进行下达责令整改通知书。</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⑨基层分局工作经费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按照部门职能及当年工作计划，对食品药品进行安全抽查，产品安全问题整改通知率100%、食品安全问题整改通知率100%。</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⑩信息化建设工作经费</w:t>
      </w:r>
    </w:p>
    <w:p>
      <w:pPr>
        <w:pStyle w:val="16"/>
        <w:tabs>
          <w:tab w:val="left" w:pos="1256"/>
        </w:tabs>
        <w:spacing w:line="360" w:lineRule="auto"/>
        <w:ind w:firstLine="641"/>
        <w:jc w:val="both"/>
        <w:rPr>
          <w:rFonts w:hint="eastAsia" w:ascii="仿宋" w:hAnsi="仿宋" w:eastAsia="仿宋" w:cs="仿宋"/>
          <w:sz w:val="30"/>
          <w:szCs w:val="30"/>
          <w:lang w:val="en-US" w:eastAsia="zh-CN"/>
        </w:rPr>
      </w:pPr>
      <w:r>
        <w:rPr>
          <w:rFonts w:hint="eastAsia" w:ascii="仿宋" w:hAnsi="仿宋" w:eastAsia="仿宋" w:cs="仿宋"/>
          <w:color w:val="000000"/>
          <w:sz w:val="30"/>
          <w:szCs w:val="30"/>
        </w:rPr>
        <w:t>依托智慧市场监管平台，建立集中统一的市场监管指挥调度中心，全面汇集、展现市场主体、监管部门、监管人员基本信息和位置信息</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通过“点对面”或“点对点”的方式发出指令，</w:t>
      </w:r>
      <w:r>
        <w:rPr>
          <w:rFonts w:hint="eastAsia" w:ascii="仿宋" w:hAnsi="仿宋" w:eastAsia="仿宋" w:cs="仿宋"/>
          <w:color w:val="000000"/>
          <w:sz w:val="30"/>
          <w:szCs w:val="30"/>
          <w:lang w:eastAsia="zh-CN"/>
        </w:rPr>
        <w:t>实现</w:t>
      </w:r>
      <w:r>
        <w:rPr>
          <w:rFonts w:hint="eastAsia" w:ascii="仿宋" w:hAnsi="仿宋" w:eastAsia="仿宋" w:cs="仿宋"/>
          <w:color w:val="000000"/>
          <w:sz w:val="30"/>
          <w:szCs w:val="30"/>
        </w:rPr>
        <w:t>对人员、车辆优化配置和精确调度。</w:t>
      </w:r>
      <w:r>
        <w:rPr>
          <w:rFonts w:hint="eastAsia" w:ascii="仿宋" w:hAnsi="仿宋" w:eastAsia="仿宋" w:cs="仿宋"/>
          <w:color w:val="000000"/>
          <w:sz w:val="30"/>
          <w:szCs w:val="30"/>
          <w:lang w:eastAsia="zh-CN"/>
        </w:rPr>
        <w:t>遇到</w:t>
      </w:r>
      <w:r>
        <w:rPr>
          <w:rFonts w:hint="eastAsia" w:ascii="仿宋" w:hAnsi="仿宋" w:eastAsia="仿宋" w:cs="仿宋"/>
          <w:color w:val="000000"/>
          <w:sz w:val="30"/>
          <w:szCs w:val="30"/>
        </w:rPr>
        <w:t>重大应急事件和整治行动，能够多级响应，实现对全市监管力量的统一调度和高效指挥</w:t>
      </w:r>
      <w:r>
        <w:rPr>
          <w:rFonts w:hint="eastAsia" w:ascii="仿宋" w:hAnsi="仿宋" w:eastAsia="仿宋" w:cs="仿宋"/>
          <w:color w:val="000000"/>
          <w:sz w:val="30"/>
          <w:szCs w:val="30"/>
          <w:lang w:val="en-US" w:eastAsia="zh-CN"/>
        </w:rPr>
        <w:t>,并定期对系统进行维护，确保系统正常运转。</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 xml:space="preserve">⑪扫黑除恶工作经费 </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bCs/>
          <w:sz w:val="30"/>
          <w:szCs w:val="30"/>
        </w:rPr>
        <w:t>我</w:t>
      </w:r>
      <w:r>
        <w:rPr>
          <w:rFonts w:hint="eastAsia" w:ascii="仿宋" w:hAnsi="仿宋" w:eastAsia="仿宋" w:cs="仿宋"/>
          <w:bCs/>
          <w:sz w:val="30"/>
          <w:szCs w:val="30"/>
          <w:lang w:eastAsia="zh-CN"/>
        </w:rPr>
        <w:t>局</w:t>
      </w:r>
      <w:r>
        <w:rPr>
          <w:rFonts w:hint="eastAsia" w:ascii="仿宋" w:hAnsi="仿宋" w:eastAsia="仿宋" w:cs="仿宋"/>
          <w:bCs/>
          <w:sz w:val="30"/>
          <w:szCs w:val="30"/>
        </w:rPr>
        <w:t>坚持领导班子有研究有部署有方案有落实，制定行业领域常态化开展疫情防控、扫黑除恶工作专项方案各1个，及时听取研究各行业领域常态化疫情防控、扫黑除恶工作汇报，全面掌握了解疫情防控、扫黑除恶开展情况；并加强涉黑线索排查率达到100%。</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⑫党建工作经费</w:t>
      </w:r>
    </w:p>
    <w:p>
      <w:pPr>
        <w:spacing w:line="360" w:lineRule="auto"/>
        <w:ind w:firstLine="640"/>
        <w:jc w:val="left"/>
        <w:rPr>
          <w:rFonts w:hint="eastAsia" w:ascii="仿宋" w:hAnsi="仿宋" w:eastAsia="仿宋" w:cs="仿宋"/>
          <w:sz w:val="30"/>
          <w:szCs w:val="30"/>
        </w:rPr>
      </w:pPr>
      <w:r>
        <w:rPr>
          <w:rFonts w:hint="eastAsia" w:ascii="仿宋" w:hAnsi="仿宋" w:eastAsia="仿宋" w:cs="仿宋"/>
          <w:sz w:val="30"/>
          <w:szCs w:val="30"/>
        </w:rPr>
        <w:t>我</w:t>
      </w:r>
      <w:r>
        <w:rPr>
          <w:rFonts w:hint="eastAsia" w:ascii="仿宋" w:hAnsi="仿宋" w:eastAsia="仿宋" w:cs="仿宋"/>
          <w:bCs/>
          <w:sz w:val="30"/>
          <w:szCs w:val="30"/>
          <w:lang w:eastAsia="zh-CN"/>
        </w:rPr>
        <w:t>局</w:t>
      </w:r>
      <w:r>
        <w:rPr>
          <w:rFonts w:hint="eastAsia" w:ascii="仿宋" w:hAnsi="仿宋" w:eastAsia="仿宋" w:cs="仿宋"/>
          <w:sz w:val="30"/>
          <w:szCs w:val="30"/>
        </w:rPr>
        <w:t>紧扣“学史明理、学史增信、学史崇德、学史力行”主题目标，认真贯彻落实习近平总书记在党史学习教育动员会上的讲话精神，高质量开展党史学习教育，以“四个聚焦”为抓手，深化“学”字，按照“领导干部带头学，党员干部领头学，全体干部认真学”的要求，分级分类开展好党史学习教育；并且主要领导都按时参加党员活动，按时培训。</w:t>
      </w:r>
    </w:p>
    <w:p>
      <w:pPr>
        <w:pStyle w:val="2"/>
        <w:numPr>
          <w:ilvl w:val="0"/>
          <w:numId w:val="3"/>
        </w:numPr>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时效指标</w:t>
      </w:r>
    </w:p>
    <w:p>
      <w:pPr>
        <w:pStyle w:val="2"/>
        <w:tabs>
          <w:tab w:val="left" w:pos="1873"/>
        </w:tabs>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①执法办案设备更新维护经费：2021年度，已完成执法设备的采购，并进行验收合格；并对办案设备进行及时维护，确保执法设备运行正常。</w:t>
      </w:r>
      <w:r>
        <w:rPr>
          <w:rFonts w:hint="eastAsia" w:ascii="仿宋" w:hAnsi="仿宋" w:eastAsia="仿宋" w:cs="仿宋"/>
          <w:sz w:val="30"/>
          <w:szCs w:val="30"/>
        </w:rPr>
        <w:tab/>
      </w:r>
    </w:p>
    <w:p>
      <w:pPr>
        <w:pStyle w:val="2"/>
        <w:tabs>
          <w:tab w:val="left" w:pos="1873"/>
        </w:tabs>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②打击传销、打非经费：截至2021年12月31日，已全部完成当年全年的传销案件。</w:t>
      </w:r>
    </w:p>
    <w:p>
      <w:pPr>
        <w:pStyle w:val="2"/>
        <w:tabs>
          <w:tab w:val="left" w:pos="1873"/>
        </w:tabs>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③消费者权益保护：积极开展了3.15国际消费者权益日活动，严厉打击假冒伪劣消防产品，保障消费者合法权益，净化消防产品市场。</w:t>
      </w:r>
    </w:p>
    <w:p>
      <w:pPr>
        <w:pStyle w:val="2"/>
        <w:tabs>
          <w:tab w:val="left" w:pos="1873"/>
        </w:tabs>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④产品质量管理和监督行政执法：截至2021年12月31日，已全面完成当年全年各项产品品种的抽检任务。</w:t>
      </w:r>
    </w:p>
    <w:p>
      <w:pPr>
        <w:pStyle w:val="2"/>
        <w:tabs>
          <w:tab w:val="left" w:pos="1873"/>
        </w:tabs>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⑤特种设备监管：截至2021年12月31日，我单位已全面完成当年各项特种设备的抽查，并对存在有隐患的设备进行专项整治，不断提升特种设备质量水平。</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⑥协管站建设：截至2021年12月31日，按照部门职能，全面完成当年任务，确保全区食品药品安全。</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⑦食品安全城市工作经费：为推进食品安全城市示范创建，2021年完成辖区县乡食安办验收工作。</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⑧食品药品监督管理工作经费：截至2021年12月31日，已开展食品药品监督检查及整治行动，切实消除食品药品安全风险隐患。</w:t>
      </w:r>
    </w:p>
    <w:p>
      <w:pPr>
        <w:pStyle w:val="2"/>
        <w:tabs>
          <w:tab w:val="left" w:pos="1873"/>
        </w:tabs>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⑨基层分局工作经费：截至2021年12月31日，用于基层分局工作经费资金发放及时，确保分局工作正常运转。</w:t>
      </w:r>
    </w:p>
    <w:p>
      <w:pPr>
        <w:pStyle w:val="16"/>
        <w:tabs>
          <w:tab w:val="left" w:pos="1256"/>
        </w:tabs>
        <w:spacing w:line="360" w:lineRule="auto"/>
        <w:ind w:firstLine="641"/>
        <w:jc w:val="both"/>
        <w:rPr>
          <w:rFonts w:hint="eastAsia" w:ascii="仿宋" w:hAnsi="仿宋" w:eastAsia="仿宋" w:cs="仿宋"/>
          <w:sz w:val="30"/>
          <w:szCs w:val="30"/>
          <w:lang w:eastAsia="zh-CN"/>
        </w:rPr>
      </w:pPr>
      <w:r>
        <w:rPr>
          <w:rFonts w:hint="eastAsia" w:ascii="仿宋" w:hAnsi="仿宋" w:eastAsia="仿宋" w:cs="仿宋"/>
          <w:sz w:val="30"/>
          <w:szCs w:val="30"/>
          <w:lang w:val="en-US" w:eastAsia="zh-CN"/>
        </w:rPr>
        <w:t>⑩信息化建设工作经费：</w:t>
      </w:r>
      <w:r>
        <w:rPr>
          <w:rFonts w:hint="eastAsia" w:ascii="仿宋" w:hAnsi="仿宋" w:eastAsia="仿宋" w:cs="仿宋"/>
          <w:sz w:val="30"/>
          <w:szCs w:val="30"/>
          <w:lang w:eastAsia="zh-CN"/>
        </w:rPr>
        <w:t>2018年12月，南昌市智慧市场监管平台一期工程开始建设，2019年8月正式建成运行，并经南昌市政府正式发文，在全市系统内推广上线。现已在全市建成覆盖市局、县区局和基层分局的三级智慧监管平台。</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⑪扫黑除恶工作经费：截至2021年12月31日，已全面完成扫黑除恶专项斗争，并及时开展扫黑除恶宣传活动，有力打击震慑黑恶势力犯罪。</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⑫党建工作经费：截至2021年12月31日，各位领导干部按时参加党建培训活动，通过培训进一步提高了干部的理论水平。</w:t>
      </w:r>
    </w:p>
    <w:p>
      <w:pPr>
        <w:pStyle w:val="2"/>
        <w:numPr>
          <w:ilvl w:val="0"/>
          <w:numId w:val="3"/>
        </w:numPr>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成本指标</w:t>
      </w:r>
    </w:p>
    <w:p>
      <w:pPr>
        <w:pStyle w:val="2"/>
        <w:spacing w:line="360" w:lineRule="auto"/>
        <w:ind w:left="0" w:leftChars="0" w:firstLine="640"/>
        <w:rPr>
          <w:rFonts w:hint="eastAsia" w:ascii="仿宋" w:hAnsi="仿宋" w:eastAsia="仿宋" w:cs="仿宋"/>
          <w:b/>
          <w:bCs/>
          <w:sz w:val="30"/>
          <w:szCs w:val="30"/>
        </w:rPr>
      </w:pPr>
      <w:r>
        <w:rPr>
          <w:rFonts w:hint="eastAsia" w:ascii="仿宋" w:hAnsi="仿宋" w:eastAsia="仿宋" w:cs="仿宋"/>
          <w:sz w:val="30"/>
          <w:szCs w:val="30"/>
        </w:rPr>
        <w:t>①执法办案设备更新维护经费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全年预算数22.02万元，全年执行数22.02万元，预算资金执行率100%。该项目实际支出金额均控制在预算范围内。很好的完成了目标值。</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②打击传销、打非经费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全年预算数29.22万元，全年执行数29.22万元，预算资金执行率100%。该项目实际支出金额均控制在预算范围内。很好的完成了目标值。</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③消费者权益保护</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全年预算数15万元，全年执行数15万元，预算资金执行率100%。该项目实际支出金额均控制在预算范围内。很好的完成了目标值。</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④产品质量管理和监督行政执法</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全年预算数25万元，全年执行数25万元，预算资金执行率100%。该项目实际支出金额均控制在预算范围内。很好的完成了目标值。</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⑤特种设备监管</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全年预算数20万元，全年执行数20万元，预算资金执行率100%。该项目实际支出金额均控制在预算范围内。很好的完成了目标值。</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⑥协管站建设</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全年预算数10万元，全年执行数10万元，预算资金执行率100%。该项目实际支出金额均控制在预算范围内。很好的完成了目标值。</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⑦食品安全城市工作经费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全年预算数20万元，全年执行数20万元，预算资金执行率100%。该项目实际支出金额均控制在预算范围内。很好的完成了目标值。</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⑧食品药品监督管理工作经费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全年预算数65万元，全年执行数65万元，预算资金执行率100%。该项目实际支出金额均控制在预算范围内。很好的完成了目标值。</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⑨基层分局工作经费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全年预算数20万元，全年执行数20万元，预算资金执行率100%。该项目实际支出金额均控制在预算范围内。很好的完成了目标值。</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⑩信息化建设工作经费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全年预算数23万元，全年执行数23万元，预算资金执行率100%。该项目实际支出金额均控制在预算范围内。很好的完成了目标值。</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 xml:space="preserve">⑪扫黑除恶工作经费 </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全年预算数20万元，全年执行数20万元，预算资金执行率100%。该项目实际支出金额均控制在预算范围内。很好的完成了目标值。</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⑫党建工作经费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全年预算数2万元，全年执行数2万元，预算资金执行率100%。该项目实际支出金额均控制在预算范围内。很好的完成了目标值。</w:t>
      </w:r>
    </w:p>
    <w:p>
      <w:pPr>
        <w:pStyle w:val="2"/>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4.项目效果情况</w:t>
      </w:r>
    </w:p>
    <w:p>
      <w:pPr>
        <w:pStyle w:val="2"/>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（1）社会效益指标</w:t>
      </w:r>
    </w:p>
    <w:p>
      <w:pPr>
        <w:pStyle w:val="2"/>
        <w:spacing w:line="360" w:lineRule="auto"/>
        <w:ind w:left="0" w:leftChars="0" w:firstLine="640"/>
        <w:rPr>
          <w:rFonts w:hint="eastAsia" w:ascii="仿宋" w:hAnsi="仿宋" w:eastAsia="仿宋" w:cs="仿宋"/>
          <w:b/>
          <w:bCs/>
          <w:sz w:val="30"/>
          <w:szCs w:val="30"/>
        </w:rPr>
      </w:pPr>
      <w:r>
        <w:rPr>
          <w:rFonts w:hint="eastAsia" w:ascii="仿宋" w:hAnsi="仿宋" w:eastAsia="仿宋" w:cs="仿宋"/>
          <w:sz w:val="30"/>
          <w:szCs w:val="30"/>
        </w:rPr>
        <w:t>①执法办案设备更新维护经费</w:t>
      </w:r>
    </w:p>
    <w:p>
      <w:pPr>
        <w:pStyle w:val="2"/>
        <w:spacing w:line="360" w:lineRule="auto"/>
        <w:ind w:left="0" w:leftChars="0" w:firstLine="632"/>
        <w:rPr>
          <w:rFonts w:hint="eastAsia" w:ascii="仿宋" w:hAnsi="仿宋" w:eastAsia="仿宋" w:cs="仿宋"/>
          <w:spacing w:val="-2"/>
          <w:sz w:val="30"/>
          <w:szCs w:val="30"/>
        </w:rPr>
      </w:pPr>
      <w:r>
        <w:rPr>
          <w:rFonts w:hint="eastAsia" w:ascii="仿宋" w:hAnsi="仿宋" w:eastAsia="仿宋" w:cs="仿宋"/>
          <w:spacing w:val="-2"/>
          <w:sz w:val="30"/>
          <w:szCs w:val="30"/>
        </w:rPr>
        <w:t>通过对执法办案设备更新维护，保障了执法人员工作正常运行，提高办事效率，确保全区不发生重大产品食品安全事故。</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②打击传销、打非经费</w:t>
      </w:r>
    </w:p>
    <w:p>
      <w:pPr>
        <w:spacing w:line="360" w:lineRule="auto"/>
        <w:ind w:firstLine="592" w:firstLineChars="200"/>
        <w:rPr>
          <w:rFonts w:ascii="仿宋" w:hAnsi="仿宋" w:eastAsia="仿宋" w:cs="仿宋"/>
          <w:spacing w:val="-2"/>
          <w:sz w:val="30"/>
          <w:szCs w:val="30"/>
        </w:rPr>
      </w:pPr>
      <w:r>
        <w:rPr>
          <w:rFonts w:hint="eastAsia" w:ascii="仿宋" w:hAnsi="仿宋" w:eastAsia="仿宋" w:cs="仿宋"/>
          <w:spacing w:val="-2"/>
          <w:sz w:val="30"/>
          <w:szCs w:val="30"/>
        </w:rPr>
        <w:t>1.将打击传销纳入扫黑除恶专项斗争打击范围，动员社会各方力量参与打击传销活动，有效遏制了传销行为，维护了我区经济和社会稳定，保障了人民群众生命和财产安全。</w:t>
      </w:r>
    </w:p>
    <w:p>
      <w:pPr>
        <w:spacing w:line="360" w:lineRule="auto"/>
        <w:ind w:firstLine="592" w:firstLineChars="200"/>
        <w:rPr>
          <w:rFonts w:ascii="仿宋" w:hAnsi="仿宋" w:eastAsia="仿宋" w:cs="仿宋"/>
          <w:spacing w:val="-2"/>
          <w:sz w:val="30"/>
          <w:szCs w:val="30"/>
        </w:rPr>
      </w:pPr>
      <w:r>
        <w:rPr>
          <w:rFonts w:hint="eastAsia" w:ascii="仿宋" w:hAnsi="仿宋" w:eastAsia="仿宋" w:cs="仿宋"/>
          <w:spacing w:val="-2"/>
          <w:sz w:val="30"/>
          <w:szCs w:val="30"/>
        </w:rPr>
        <w:t>2.激发了全区人民群众防范传销、打击传销的斗志。建立完善“打、控、管、宣”一体的打击传销工作机制，深入开展“无传销乡镇（街道）、村（社区）”创建工作，激发了村（社区）、乡（镇）的责任意识加强了对重点区域的巡查与监控。</w:t>
      </w:r>
    </w:p>
    <w:p>
      <w:pPr>
        <w:spacing w:line="360" w:lineRule="auto"/>
        <w:ind w:firstLine="592" w:firstLineChars="200"/>
        <w:rPr>
          <w:rFonts w:ascii="仿宋" w:hAnsi="仿宋" w:eastAsia="仿宋" w:cs="仿宋"/>
          <w:spacing w:val="-2"/>
          <w:sz w:val="30"/>
          <w:szCs w:val="30"/>
        </w:rPr>
      </w:pPr>
      <w:r>
        <w:rPr>
          <w:rFonts w:hint="eastAsia" w:ascii="仿宋" w:hAnsi="仿宋" w:eastAsia="仿宋" w:cs="仿宋"/>
          <w:spacing w:val="-2"/>
          <w:sz w:val="30"/>
          <w:szCs w:val="30"/>
        </w:rPr>
        <w:t>3.加强了对《禁止传销条例》和《直销管理条例》的宣传，重点抓好对农民工、在校学生、下岗失业人员等重点群体的宣传教育，提高了全社会防范传销的意识和能力。充分利用各种宣传媒体，公开曝光典型案件、深刻揭露传销违法犯罪活动的危害性、欺骗性，营造了严厉打击传销活动的强大舆论声势和浓厚的社会氛围。</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③消费者权益保护</w:t>
      </w:r>
    </w:p>
    <w:p>
      <w:pPr>
        <w:pStyle w:val="2"/>
        <w:spacing w:line="360" w:lineRule="auto"/>
        <w:ind w:left="0" w:leftChars="0" w:firstLine="64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广泛开展315系列宣传教育活动，发布消费警示，加强重点人群和重点区域消费宣传引导，营造绿色健康安全放心的消费环境；根据部署2021年继续开展“管集市”专项行动，彻底改变农贸市场“脏、乱、差”现状，达到整洁有序。</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④产品质量管理和监督行政执法</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shd w:val="clear" w:color="auto" w:fill="FFFFFF"/>
        </w:rPr>
        <w:t>通过对重要工业产品、重要消费品、食品相关产品质量监督抽查不合格发现率降至10%以内，生产和流通领域产品质量水平稳步提升，确保了产品质量安全，不发生较大以上产品质量安全事故；截止到2021年末，通过三年整治，全区重要工业产品特别是风险高、可能出现区域性、行业性和系统性质量安全问题的工业产品质量水平有明显提高，生产企业质量安全主体责任进一步夯实，全区重要工业产品质量安全水平明显提升。</w:t>
      </w:r>
    </w:p>
    <w:p>
      <w:pPr>
        <w:pStyle w:val="2"/>
        <w:spacing w:line="360" w:lineRule="auto"/>
        <w:ind w:left="0" w:leftChars="0" w:firstLine="640"/>
        <w:rPr>
          <w:rFonts w:hint="eastAsia" w:ascii="仿宋" w:hAnsi="仿宋" w:eastAsia="仿宋" w:cs="仿宋"/>
          <w:kern w:val="0"/>
          <w:sz w:val="30"/>
          <w:szCs w:val="30"/>
        </w:rPr>
      </w:pPr>
      <w:r>
        <w:rPr>
          <w:rFonts w:hint="eastAsia" w:ascii="仿宋" w:hAnsi="仿宋" w:eastAsia="仿宋" w:cs="仿宋"/>
          <w:kern w:val="0"/>
          <w:sz w:val="30"/>
          <w:szCs w:val="30"/>
        </w:rPr>
        <w:t>⑤特种设备监管</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kern w:val="0"/>
          <w:sz w:val="30"/>
          <w:szCs w:val="30"/>
          <w:shd w:val="clear" w:color="auto" w:fill="FFFFFF"/>
        </w:rPr>
        <w:t>1.特种设备安全运行关系到人民生命财产安全，关系到经济社会健康发展。为以防止、减少事故、遏制重大事故为目标，打基础、重监管、抓落实，全面开展特种设备安全监察工作。我局狠抓特种设备责任保险工作，提高特种设备使用单位安全意识；分别开展了“元旦”、“春节”、“五一”、“中秋”、“国庆”等节假日和重要时期的特种设备安全大检查和气瓶充装站、起重机械、电梯等专项整治，把人员密集场所、化工生产企业、气瓶充装和制造企业使用的特种设备作为日常监察重点。</w:t>
      </w:r>
      <w:r>
        <w:rPr>
          <w:rFonts w:hint="eastAsia" w:ascii="仿宋" w:hAnsi="仿宋" w:eastAsia="仿宋" w:cs="仿宋"/>
          <w:sz w:val="30"/>
          <w:szCs w:val="30"/>
          <w:shd w:val="clear" w:color="auto" w:fill="FFFFFF"/>
        </w:rPr>
        <w:t>做到了检查彻底，有检查、有记录、有措施、见成效，有效地遏制了安全事故的发生，确保了湾里区特种设备的安全运行，为安全生产打下了良好的基础。</w:t>
      </w:r>
    </w:p>
    <w:p>
      <w:pPr>
        <w:widowControl/>
        <w:shd w:val="clear" w:color="auto" w:fill="FFFFFF"/>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kern w:val="0"/>
          <w:sz w:val="30"/>
          <w:szCs w:val="30"/>
          <w:shd w:val="clear" w:color="auto" w:fill="FFFFFF"/>
        </w:rPr>
        <w:t>为加强宣传教育，我局充分利用“3·15”、“六一”儿童节、“安全生产月”、“质量月”等活动，向社会开展安全生产知识、法律法规咨询服务，通过广泛宣传，提高了安全意识，增强了安全生产的紧迫感和责任感。按照《关于开展全市电梯安全宣传周活动的通知》要求，开展了“电梯安全宣传周”活动，讲解了各类特种设备安全防范知识，让学生、市民们进一步了解电梯、大型游乐设施等特种设备基本使用方法和注意事项，提高了学生、市民们自觉防范各类安全事故的能力。</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⑥协管站建设</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通过项目的实施，加强的食品药品安全监督，确保了全区不发生重大食品安全事故。</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⑦食品安全城市工作经费</w:t>
      </w:r>
    </w:p>
    <w:p>
      <w:pPr>
        <w:pStyle w:val="2"/>
        <w:spacing w:line="360" w:lineRule="auto"/>
        <w:ind w:left="0" w:leftChars="0" w:firstLine="640"/>
        <w:rPr>
          <w:rFonts w:ascii="仿宋" w:hAnsi="仿宋" w:eastAsia="仿宋" w:cs="仿宋"/>
          <w:color w:val="000000"/>
          <w:kern w:val="0"/>
          <w:sz w:val="30"/>
          <w:szCs w:val="30"/>
        </w:rPr>
      </w:pPr>
      <w:r>
        <w:rPr>
          <w:rFonts w:hint="eastAsia" w:ascii="仿宋" w:hAnsi="仿宋" w:eastAsia="仿宋" w:cs="仿宋"/>
          <w:kern w:val="0"/>
          <w:sz w:val="30"/>
          <w:szCs w:val="30"/>
        </w:rPr>
        <w:t>通过创建，全市食品安全治理水平得到大力提升，食品安全状况持续良好，党政同责落实到位，食品安全源头治理有效，全程监管严格实施，违法</w:t>
      </w:r>
      <w:r>
        <w:rPr>
          <w:rFonts w:hint="eastAsia" w:ascii="仿宋" w:hAnsi="仿宋" w:eastAsia="仿宋" w:cs="仿宋"/>
          <w:color w:val="000000"/>
          <w:kern w:val="0"/>
          <w:sz w:val="30"/>
          <w:szCs w:val="30"/>
        </w:rPr>
        <w:t>犯罪行为受到严厉打击，企业主体责任全面落实，社会共治格局基本形成。</w:t>
      </w:r>
    </w:p>
    <w:p>
      <w:pPr>
        <w:pStyle w:val="2"/>
        <w:spacing w:line="360" w:lineRule="auto"/>
        <w:ind w:left="0" w:leftChars="0" w:firstLine="640"/>
        <w:rPr>
          <w:rFonts w:ascii="仿宋" w:hAnsi="仿宋" w:eastAsia="仿宋"/>
          <w:sz w:val="30"/>
          <w:szCs w:val="30"/>
        </w:rPr>
      </w:pPr>
      <w:r>
        <w:rPr>
          <w:rFonts w:hint="eastAsia" w:ascii="仿宋" w:hAnsi="仿宋" w:eastAsia="仿宋"/>
          <w:sz w:val="30"/>
          <w:szCs w:val="30"/>
        </w:rPr>
        <w:t>⑧食品药品监督管理工作经费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市场监管执法环境得到优化，商事制度改革有序推进，营商环境持续改善，市场执法办案水平进一步提高，食品、药品、特种设备、产品质量、物价、知识产权监管及消费环境建设加强，市场安全保障水平大幅提升。履行好市场监管职能，最大限度守住市场安全底线。</w:t>
      </w:r>
    </w:p>
    <w:p>
      <w:pPr>
        <w:spacing w:line="360" w:lineRule="auto"/>
        <w:ind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⑨</w:t>
      </w:r>
      <w:r>
        <w:rPr>
          <w:rFonts w:hint="eastAsia" w:ascii="仿宋" w:hAnsi="仿宋" w:eastAsia="仿宋" w:cs="仿宋"/>
          <w:sz w:val="30"/>
          <w:szCs w:val="30"/>
        </w:rPr>
        <w:t>基层分局工作经费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切实发挥基层分局部门职能，保障基层分局人员市场监管工作正常开展，全区不发生重大食品和产品安全事故。</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bCs/>
          <w:color w:val="000000"/>
          <w:kern w:val="0"/>
          <w:sz w:val="30"/>
          <w:szCs w:val="30"/>
        </w:rPr>
        <w:t>⑩</w:t>
      </w:r>
      <w:r>
        <w:rPr>
          <w:rFonts w:hint="eastAsia" w:ascii="仿宋" w:hAnsi="仿宋" w:eastAsia="仿宋" w:cs="仿宋"/>
          <w:sz w:val="30"/>
          <w:szCs w:val="30"/>
        </w:rPr>
        <w:t>信息化建设工作经费</w:t>
      </w:r>
    </w:p>
    <w:p>
      <w:pPr>
        <w:widowControl/>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运用科学的公共管理手段，通过建立联动监管和共建共治等有效机制，提升管理水平，最终实现政府部门、市场主体、行业协会、社会公众共同参与的全民共治新格局。</w:t>
      </w:r>
    </w:p>
    <w:p>
      <w:pPr>
        <w:pStyle w:val="2"/>
        <w:spacing w:line="360" w:lineRule="auto"/>
        <w:ind w:left="0" w:leftChars="0"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⑪扫黑除恶工作经费</w:t>
      </w:r>
    </w:p>
    <w:p>
      <w:pPr>
        <w:spacing w:line="360" w:lineRule="auto"/>
        <w:ind w:firstLine="640"/>
        <w:jc w:val="left"/>
        <w:rPr>
          <w:rFonts w:hint="eastAsia" w:ascii="仿宋" w:hAnsi="仿宋" w:eastAsia="仿宋" w:cs="仿宋"/>
          <w:bCs/>
          <w:sz w:val="30"/>
          <w:szCs w:val="30"/>
        </w:rPr>
      </w:pPr>
      <w:r>
        <w:rPr>
          <w:rFonts w:hint="eastAsia" w:ascii="仿宋" w:hAnsi="仿宋" w:eastAsia="仿宋" w:cs="仿宋"/>
          <w:bCs/>
          <w:sz w:val="30"/>
          <w:szCs w:val="30"/>
        </w:rPr>
        <w:t>通过项目实施，坚持专项治理与系统治理、综合治理、依法治理、源头治理相结合，实现集中清除打击向常态打击整治转变，突出制度建设和能力建设，建立健全市场流通领域长效机制，坚决铲除黑恶势力滋生土壤，确保市场管理明显加强，市场主体更具活力，营商环境更加优化，长效机制更加健全，为实现南昌经济高质量发展营造市场流通领域放心消费环境和法治营商环境。确保了市场监管局平稳有序，有力打击震慑黑恶势力犯罪。</w:t>
      </w:r>
    </w:p>
    <w:p>
      <w:pPr>
        <w:pStyle w:val="2"/>
        <w:spacing w:line="360" w:lineRule="auto"/>
        <w:ind w:left="0" w:leftChars="0" w:firstLine="640"/>
        <w:rPr>
          <w:rFonts w:hint="eastAsia" w:ascii="仿宋" w:hAnsi="仿宋" w:eastAsia="仿宋" w:cs="仿宋"/>
          <w:kern w:val="0"/>
          <w:sz w:val="30"/>
          <w:szCs w:val="30"/>
        </w:rPr>
      </w:pPr>
      <w:r>
        <w:rPr>
          <w:rFonts w:hint="eastAsia" w:ascii="仿宋" w:hAnsi="仿宋" w:eastAsia="仿宋" w:cs="仿宋"/>
          <w:color w:val="000000"/>
          <w:kern w:val="0"/>
          <w:sz w:val="30"/>
          <w:szCs w:val="30"/>
        </w:rPr>
        <w:t>⑫党建工作经</w:t>
      </w:r>
      <w:r>
        <w:rPr>
          <w:rFonts w:hint="eastAsia" w:ascii="仿宋" w:hAnsi="仿宋" w:eastAsia="仿宋" w:cs="仿宋"/>
          <w:kern w:val="0"/>
          <w:sz w:val="30"/>
          <w:szCs w:val="30"/>
        </w:rPr>
        <w:t>费</w:t>
      </w:r>
    </w:p>
    <w:p>
      <w:pPr>
        <w:spacing w:line="360" w:lineRule="auto"/>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湾里区市监局继续坚持党风廉政建设和业务工作一起抓，同部署、同落实、同考核的原则，加大党风政风行风建设。强化学习意识，加强理论和道德修养。落实好集体学习制度，组织全局干部职工认真学习中央、省、市关于加强干部廉政作风建设有关文件和领导讲话精神,充分认识加强和改进干部廉政作风建设的重要性和必要性，引导党员干部牢固树立廉洁自律意识，倡导勤俭节约、文明健康的良好风气。</w:t>
      </w:r>
    </w:p>
    <w:p>
      <w:pPr>
        <w:pStyle w:val="2"/>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（2）可持续影响指标</w:t>
      </w:r>
    </w:p>
    <w:p>
      <w:pPr>
        <w:pStyle w:val="2"/>
        <w:spacing w:line="360" w:lineRule="auto"/>
        <w:ind w:left="0" w:leftChars="0" w:firstLine="640"/>
        <w:rPr>
          <w:rFonts w:hint="eastAsia" w:ascii="仿宋" w:hAnsi="仿宋" w:eastAsia="仿宋" w:cs="仿宋"/>
          <w:b/>
          <w:bCs/>
          <w:sz w:val="30"/>
          <w:szCs w:val="30"/>
        </w:rPr>
      </w:pPr>
      <w:r>
        <w:rPr>
          <w:rFonts w:hint="eastAsia" w:ascii="仿宋" w:hAnsi="仿宋" w:eastAsia="仿宋" w:cs="仿宋"/>
          <w:sz w:val="30"/>
          <w:szCs w:val="30"/>
        </w:rPr>
        <w:t>①执法办案设备更新维护经费</w:t>
      </w:r>
    </w:p>
    <w:p>
      <w:pPr>
        <w:pStyle w:val="2"/>
        <w:spacing w:line="360" w:lineRule="auto"/>
        <w:ind w:left="0" w:leftChars="0" w:firstLine="632"/>
        <w:rPr>
          <w:rFonts w:hint="eastAsia" w:ascii="仿宋" w:hAnsi="仿宋" w:eastAsia="仿宋" w:cs="仿宋"/>
          <w:spacing w:val="-2"/>
          <w:sz w:val="30"/>
          <w:szCs w:val="30"/>
        </w:rPr>
      </w:pPr>
      <w:r>
        <w:rPr>
          <w:rFonts w:hint="eastAsia" w:ascii="仿宋" w:hAnsi="仿宋" w:eastAsia="仿宋" w:cs="仿宋"/>
          <w:spacing w:val="-2"/>
          <w:sz w:val="30"/>
          <w:szCs w:val="30"/>
        </w:rPr>
        <w:t>通过项目的实施，更加程度增加了设备使用年限，确保了执法人员办案效率。</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②打击传销、打非经费</w:t>
      </w:r>
    </w:p>
    <w:p>
      <w:pPr>
        <w:spacing w:line="360" w:lineRule="auto"/>
        <w:ind w:firstLine="592" w:firstLineChars="200"/>
        <w:rPr>
          <w:rFonts w:hint="eastAsia" w:ascii="仿宋" w:hAnsi="仿宋" w:eastAsia="仿宋" w:cs="仿宋"/>
          <w:spacing w:val="-2"/>
          <w:sz w:val="30"/>
          <w:szCs w:val="30"/>
        </w:rPr>
      </w:pPr>
      <w:r>
        <w:rPr>
          <w:rFonts w:hint="eastAsia" w:ascii="仿宋" w:hAnsi="仿宋" w:eastAsia="仿宋" w:cs="仿宋"/>
          <w:spacing w:val="-2"/>
          <w:sz w:val="30"/>
          <w:szCs w:val="30"/>
        </w:rPr>
        <w:t>巩固打击成果，建立了预警机制，重视打击传销活动的长效机制建设。充分发挥了基层组织作用，分区分片，加强日常监管，严密监控，及时发现，迅速查处。</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③消费者权益保护</w:t>
      </w:r>
    </w:p>
    <w:p>
      <w:pPr>
        <w:pStyle w:val="2"/>
        <w:spacing w:line="360" w:lineRule="auto"/>
        <w:ind w:left="0" w:leftChars="0" w:firstLine="64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开展专项打假治劣行动，坚持“标本兼治、打防结合、治扶并重、综合治理”工作原则，严厉查处消防产品制假售假违法行为，提高消防产品生产者、销售者的质量意识，提高公民消防安全保障水平,并维护社会经济秩序稳定。</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④产品质量管理和监督行政执法</w:t>
      </w:r>
    </w:p>
    <w:p>
      <w:pPr>
        <w:pStyle w:val="2"/>
        <w:spacing w:line="360" w:lineRule="auto"/>
        <w:ind w:left="0" w:leftChars="0" w:firstLine="64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通过开展重要工业产品质量安全整治行动，建立健全长效管理机制，防范产品质量安全突发事件。</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⑤特种设备监管</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紧紧围绕着以食品质量安全和特种设备安全为主线的工作目标，重点打击危害人民群众生命健康安全的制假行为；全面落实辖区打假责任制；着力从源头上打击和防范制假活动，建立和完善标本兼治重在治本的长效机制，切实维护了消费者合法权益，有效地整顿和规范了市场秩序。</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⑥协管站建设</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建立和完善标本兼治重在治本的长效机制，切实维护了消费者合法权益，有效地整顿和规范了市场秩序。</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⑦食品安全城市工作经费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通过加强食品专项整治、继续优化各项管理制度与措施，确保了食品监管工作正常有序、有效运转，促进了创建工作各阶段性工作的顺利完成。并争取在2022年度县（区）政府（管委会）食品安全工作评议考核实现争先进位。</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⑧食品药品监督管理工作经费</w:t>
      </w:r>
    </w:p>
    <w:p>
      <w:pPr>
        <w:pStyle w:val="2"/>
        <w:spacing w:line="360" w:lineRule="auto"/>
        <w:ind w:left="0" w:leftChars="0" w:firstLine="64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通过项目实施，进一步完善监管机构，落实专职监管人员，明确职责，责任具体落实到人。食品质量安全实行一把手负责制，层层落实食品质量安全监管责任，明确了局党组成员的分工和责任落实。要求企业落实质量安全主体责任，根据国家质量监督检验检疫总局《关于食品生产加工企业落实质量安全主体责任监督检查规定的公告》的要求，定期或不定期地要求企业自查和核查，建立健全基层食品安全长效工作机制。</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⑨基层分局工作经费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建立和完善标本兼治重在治本的长效机制，切实维护了消费者合法权益，有效地整顿和规范了市场秩序。</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⑩信息化建设工作经费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该项目建成后，逐步形成“互联网+监管”的信息化管理模式，并有效解决了基层监管人员不足、专业水平不高的矛盾，</w:t>
      </w:r>
      <w:r>
        <w:rPr>
          <w:rFonts w:hint="eastAsia" w:ascii="仿宋" w:hAnsi="仿宋" w:eastAsia="仿宋" w:cs="仿宋"/>
          <w:color w:val="000000"/>
          <w:sz w:val="30"/>
          <w:szCs w:val="30"/>
        </w:rPr>
        <w:t>工作效率和监管效能获得“双提升”</w:t>
      </w:r>
      <w:r>
        <w:rPr>
          <w:rFonts w:hint="eastAsia" w:ascii="仿宋" w:hAnsi="仿宋" w:eastAsia="仿宋" w:cs="仿宋"/>
          <w:sz w:val="30"/>
          <w:szCs w:val="30"/>
        </w:rPr>
        <w:t>，深受监管人员欢迎。</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⑪扫黑除恶工作经费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有效铲除黑恶势力滋生土壤，形成长效机制。通过履行扫黑除恶重大政治责任，充分发挥各单位扫黑除恶专项斗争领导小组及扫黑办牵头抓总、统筹协调作用，定期召开会议，研究解决问题，部署推进工作，有序推进扫黑除恶专项斗争。将预防打击黑恶势力纳入平安建设(综治工作)考核体系；并在全市建设系统深入开展扫黑除恶专项斗争过程过程中，在人财物上给予充分保障，加强各级扫黑办建设:充实人员力量，保障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⑫党建工作经费</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通过开展项目实施，持续提高了干部群众工作能力，并全面提升“全域党建” 工作水平，推进基层党建基础工作全面过硬，努力构建管党治党责任进一步落实、党员干部作风进一步转变、基层服务能力进一步提升、党组织战斗堡垒作用和党员先锋模范作用。</w:t>
      </w:r>
    </w:p>
    <w:p>
      <w:pPr>
        <w:pStyle w:val="2"/>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5.项目满意度</w:t>
      </w:r>
    </w:p>
    <w:p>
      <w:pPr>
        <w:pStyle w:val="2"/>
        <w:spacing w:line="360" w:lineRule="auto"/>
        <w:ind w:left="0" w:leftChars="0" w:firstLine="643"/>
        <w:rPr>
          <w:rFonts w:ascii="仿宋" w:hAnsi="仿宋" w:eastAsia="仿宋" w:cs="仿宋"/>
          <w:b/>
          <w:bCs/>
          <w:sz w:val="32"/>
          <w:szCs w:val="32"/>
        </w:rPr>
      </w:pPr>
      <w:r>
        <w:rPr>
          <w:rFonts w:hint="eastAsia" w:ascii="仿宋" w:hAnsi="仿宋" w:eastAsia="仿宋" w:cs="仿宋"/>
          <w:b/>
          <w:bCs/>
          <w:sz w:val="30"/>
          <w:szCs w:val="30"/>
        </w:rPr>
        <w:t>（1）</w:t>
      </w:r>
      <w:r>
        <w:rPr>
          <w:rFonts w:ascii="仿宋" w:hAnsi="仿宋" w:eastAsia="仿宋" w:cs="仿宋"/>
          <w:b/>
          <w:bCs/>
          <w:sz w:val="30"/>
          <w:szCs w:val="30"/>
        </w:rPr>
        <w:t>服务对象满意度指标</w:t>
      </w:r>
    </w:p>
    <w:tbl>
      <w:tblPr>
        <w:tblStyle w:val="9"/>
        <w:tblW w:w="7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88"/>
        <w:gridCol w:w="3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4288" w:type="dxa"/>
            <w:shd w:val="clear" w:color="auto" w:fill="00B0F0"/>
            <w:noWrap w:val="0"/>
            <w:vAlign w:val="center"/>
          </w:tcPr>
          <w:p>
            <w:pPr>
              <w:widowControl/>
              <w:spacing w:line="240" w:lineRule="exact"/>
              <w:jc w:val="center"/>
              <w:textAlignment w:val="center"/>
              <w:rPr>
                <w:rFonts w:cs="仿宋_GB2312"/>
                <w:b/>
                <w:bCs/>
                <w:color w:val="FFFFFF"/>
                <w:sz w:val="28"/>
                <w:szCs w:val="28"/>
              </w:rPr>
            </w:pPr>
            <w:r>
              <w:rPr>
                <w:rFonts w:hint="eastAsia" w:cs="仿宋_GB2312"/>
                <w:b/>
                <w:bCs/>
                <w:color w:val="FFFFFF"/>
                <w:kern w:val="0"/>
                <w:sz w:val="28"/>
                <w:szCs w:val="28"/>
              </w:rPr>
              <w:t>项目名称</w:t>
            </w:r>
          </w:p>
        </w:tc>
        <w:tc>
          <w:tcPr>
            <w:tcW w:w="3527" w:type="dxa"/>
            <w:shd w:val="clear" w:color="auto" w:fill="00B0F0"/>
            <w:noWrap w:val="0"/>
            <w:vAlign w:val="center"/>
          </w:tcPr>
          <w:p>
            <w:pPr>
              <w:widowControl/>
              <w:spacing w:line="240" w:lineRule="exact"/>
              <w:jc w:val="center"/>
              <w:textAlignment w:val="center"/>
              <w:rPr>
                <w:rFonts w:cs="仿宋_GB2312"/>
                <w:b/>
                <w:bCs/>
                <w:color w:val="FFFFFF"/>
                <w:kern w:val="0"/>
                <w:sz w:val="28"/>
                <w:szCs w:val="28"/>
              </w:rPr>
            </w:pPr>
            <w:r>
              <w:rPr>
                <w:rFonts w:hint="eastAsia" w:cs="仿宋_GB2312"/>
                <w:b/>
                <w:bCs/>
                <w:color w:val="FFFFFF"/>
                <w:kern w:val="0"/>
                <w:sz w:val="28"/>
                <w:szCs w:val="28"/>
              </w:rPr>
              <w:t>项目满意度（%）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7" w:hRule="atLeast"/>
          <w:jc w:val="center"/>
        </w:trPr>
        <w:tc>
          <w:tcPr>
            <w:tcW w:w="4288" w:type="dxa"/>
            <w:noWrap w:val="0"/>
            <w:vAlign w:val="center"/>
          </w:tcPr>
          <w:p>
            <w:pPr>
              <w:widowControl/>
              <w:spacing w:line="240" w:lineRule="exact"/>
              <w:jc w:val="center"/>
              <w:textAlignment w:val="center"/>
              <w:rPr>
                <w:rFonts w:cs="仿宋"/>
                <w:sz w:val="24"/>
                <w:szCs w:val="24"/>
              </w:rPr>
            </w:pPr>
            <w:r>
              <w:rPr>
                <w:rFonts w:hint="eastAsia" w:cs="仿宋_GB2312"/>
                <w:kern w:val="0"/>
                <w:sz w:val="24"/>
                <w:szCs w:val="24"/>
              </w:rPr>
              <w:t>执法办案设备更新维护经费</w:t>
            </w:r>
          </w:p>
        </w:tc>
        <w:tc>
          <w:tcPr>
            <w:tcW w:w="3527" w:type="dxa"/>
            <w:noWrap w:val="0"/>
            <w:vAlign w:val="center"/>
          </w:tcPr>
          <w:p>
            <w:pPr>
              <w:jc w:val="center"/>
              <w:rPr>
                <w:rFonts w:eastAsia="仿宋" w:cs="仿宋"/>
                <w:sz w:val="24"/>
                <w:szCs w:val="24"/>
              </w:rPr>
            </w:pPr>
            <w:r>
              <w:rPr>
                <w:rFonts w:hint="eastAsia" w:eastAsia="仿宋" w:cs="仿宋"/>
                <w:sz w:val="24"/>
                <w:szCs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4" w:hRule="atLeast"/>
          <w:jc w:val="center"/>
        </w:trPr>
        <w:tc>
          <w:tcPr>
            <w:tcW w:w="4288" w:type="dxa"/>
            <w:noWrap w:val="0"/>
            <w:vAlign w:val="center"/>
          </w:tcPr>
          <w:p>
            <w:pPr>
              <w:widowControl/>
              <w:spacing w:line="240" w:lineRule="exact"/>
              <w:jc w:val="center"/>
              <w:textAlignment w:val="center"/>
              <w:rPr>
                <w:rFonts w:cs="仿宋_GB2312"/>
                <w:kern w:val="0"/>
                <w:sz w:val="24"/>
                <w:szCs w:val="24"/>
              </w:rPr>
            </w:pPr>
            <w:r>
              <w:rPr>
                <w:rFonts w:hint="eastAsia" w:cs="仿宋_GB2312"/>
                <w:kern w:val="0"/>
                <w:sz w:val="24"/>
                <w:szCs w:val="24"/>
              </w:rPr>
              <w:t>打击传销、打非经费</w:t>
            </w:r>
          </w:p>
        </w:tc>
        <w:tc>
          <w:tcPr>
            <w:tcW w:w="3527" w:type="dxa"/>
            <w:noWrap w:val="0"/>
            <w:vAlign w:val="center"/>
          </w:tcPr>
          <w:p>
            <w:pPr>
              <w:jc w:val="center"/>
              <w:rPr>
                <w:rFonts w:eastAsia="仿宋" w:cs="仿宋"/>
                <w:sz w:val="24"/>
                <w:szCs w:val="24"/>
              </w:rPr>
            </w:pPr>
            <w:r>
              <w:rPr>
                <w:rFonts w:hint="eastAsia" w:eastAsia="仿宋" w:cs="仿宋"/>
                <w:sz w:val="24"/>
                <w:szCs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4" w:hRule="atLeast"/>
          <w:jc w:val="center"/>
        </w:trPr>
        <w:tc>
          <w:tcPr>
            <w:tcW w:w="4288" w:type="dxa"/>
            <w:noWrap w:val="0"/>
            <w:vAlign w:val="center"/>
          </w:tcPr>
          <w:p>
            <w:pPr>
              <w:widowControl/>
              <w:spacing w:line="240" w:lineRule="exact"/>
              <w:jc w:val="center"/>
              <w:textAlignment w:val="center"/>
              <w:rPr>
                <w:rFonts w:cs="仿宋_GB2312"/>
                <w:kern w:val="0"/>
                <w:sz w:val="24"/>
                <w:szCs w:val="24"/>
              </w:rPr>
            </w:pPr>
            <w:r>
              <w:rPr>
                <w:rFonts w:hint="eastAsia" w:cs="仿宋_GB2312"/>
                <w:kern w:val="0"/>
                <w:sz w:val="24"/>
                <w:szCs w:val="24"/>
              </w:rPr>
              <w:t>消费者权益保护</w:t>
            </w:r>
          </w:p>
        </w:tc>
        <w:tc>
          <w:tcPr>
            <w:tcW w:w="3527" w:type="dxa"/>
            <w:noWrap w:val="0"/>
            <w:vAlign w:val="center"/>
          </w:tcPr>
          <w:p>
            <w:pPr>
              <w:jc w:val="center"/>
              <w:rPr>
                <w:rFonts w:eastAsia="仿宋" w:cs="仿宋"/>
                <w:sz w:val="24"/>
                <w:szCs w:val="24"/>
              </w:rPr>
            </w:pPr>
            <w:r>
              <w:rPr>
                <w:rFonts w:hint="eastAsia" w:eastAsia="仿宋" w:cs="仿宋"/>
                <w:sz w:val="24"/>
                <w:szCs w:val="24"/>
              </w:rPr>
              <w:t>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4" w:hRule="atLeast"/>
          <w:jc w:val="center"/>
        </w:trPr>
        <w:tc>
          <w:tcPr>
            <w:tcW w:w="4288" w:type="dxa"/>
            <w:noWrap w:val="0"/>
            <w:vAlign w:val="center"/>
          </w:tcPr>
          <w:p>
            <w:pPr>
              <w:widowControl/>
              <w:spacing w:line="240" w:lineRule="exact"/>
              <w:jc w:val="center"/>
              <w:textAlignment w:val="center"/>
              <w:rPr>
                <w:rFonts w:cs="仿宋_GB2312"/>
                <w:kern w:val="0"/>
                <w:sz w:val="24"/>
                <w:szCs w:val="24"/>
              </w:rPr>
            </w:pPr>
            <w:r>
              <w:rPr>
                <w:rFonts w:hint="eastAsia" w:cs="仿宋_GB2312"/>
                <w:kern w:val="0"/>
                <w:sz w:val="24"/>
                <w:szCs w:val="24"/>
              </w:rPr>
              <w:t>产品质量管理和监督行政执法</w:t>
            </w:r>
          </w:p>
        </w:tc>
        <w:tc>
          <w:tcPr>
            <w:tcW w:w="3527" w:type="dxa"/>
            <w:noWrap w:val="0"/>
            <w:vAlign w:val="center"/>
          </w:tcPr>
          <w:p>
            <w:pPr>
              <w:jc w:val="center"/>
              <w:rPr>
                <w:rFonts w:eastAsia="仿宋" w:cs="仿宋"/>
                <w:sz w:val="24"/>
                <w:szCs w:val="24"/>
              </w:rPr>
            </w:pPr>
            <w:r>
              <w:rPr>
                <w:rFonts w:hint="eastAsia" w:eastAsia="仿宋" w:cs="仿宋"/>
                <w:sz w:val="24"/>
                <w:szCs w:val="24"/>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4" w:hRule="atLeast"/>
          <w:jc w:val="center"/>
        </w:trPr>
        <w:tc>
          <w:tcPr>
            <w:tcW w:w="4288" w:type="dxa"/>
            <w:noWrap w:val="0"/>
            <w:vAlign w:val="center"/>
          </w:tcPr>
          <w:p>
            <w:pPr>
              <w:widowControl/>
              <w:spacing w:line="240" w:lineRule="exact"/>
              <w:jc w:val="center"/>
              <w:textAlignment w:val="center"/>
              <w:rPr>
                <w:rFonts w:cs="仿宋_GB2312"/>
                <w:kern w:val="0"/>
                <w:sz w:val="24"/>
                <w:szCs w:val="24"/>
              </w:rPr>
            </w:pPr>
            <w:r>
              <w:rPr>
                <w:rFonts w:hint="eastAsia" w:cs="仿宋_GB2312"/>
                <w:kern w:val="0"/>
                <w:sz w:val="24"/>
                <w:szCs w:val="24"/>
              </w:rPr>
              <w:t>特种设备监管</w:t>
            </w:r>
          </w:p>
        </w:tc>
        <w:tc>
          <w:tcPr>
            <w:tcW w:w="3527" w:type="dxa"/>
            <w:noWrap w:val="0"/>
            <w:vAlign w:val="center"/>
          </w:tcPr>
          <w:p>
            <w:pPr>
              <w:jc w:val="center"/>
              <w:rPr>
                <w:rFonts w:eastAsia="仿宋" w:cs="仿宋"/>
                <w:sz w:val="24"/>
                <w:szCs w:val="24"/>
              </w:rPr>
            </w:pPr>
            <w:r>
              <w:rPr>
                <w:rFonts w:hint="eastAsia" w:eastAsia="仿宋" w:cs="仿宋"/>
                <w:sz w:val="24"/>
                <w:szCs w:val="24"/>
              </w:rPr>
              <w:t>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4" w:hRule="atLeast"/>
          <w:jc w:val="center"/>
        </w:trPr>
        <w:tc>
          <w:tcPr>
            <w:tcW w:w="4288" w:type="dxa"/>
            <w:noWrap w:val="0"/>
            <w:vAlign w:val="center"/>
          </w:tcPr>
          <w:p>
            <w:pPr>
              <w:widowControl/>
              <w:spacing w:line="240" w:lineRule="exact"/>
              <w:jc w:val="center"/>
              <w:textAlignment w:val="center"/>
              <w:rPr>
                <w:rFonts w:cs="仿宋_GB2312"/>
                <w:kern w:val="0"/>
                <w:sz w:val="24"/>
                <w:szCs w:val="24"/>
              </w:rPr>
            </w:pPr>
            <w:r>
              <w:rPr>
                <w:rFonts w:hint="eastAsia" w:cs="仿宋_GB2312"/>
                <w:kern w:val="0"/>
                <w:sz w:val="24"/>
                <w:szCs w:val="24"/>
              </w:rPr>
              <w:t>协管站建设</w:t>
            </w:r>
          </w:p>
        </w:tc>
        <w:tc>
          <w:tcPr>
            <w:tcW w:w="3527" w:type="dxa"/>
            <w:noWrap w:val="0"/>
            <w:vAlign w:val="center"/>
          </w:tcPr>
          <w:p>
            <w:pPr>
              <w:jc w:val="center"/>
              <w:rPr>
                <w:rFonts w:eastAsia="仿宋" w:cs="仿宋"/>
                <w:sz w:val="24"/>
                <w:szCs w:val="24"/>
              </w:rPr>
            </w:pPr>
            <w:r>
              <w:rPr>
                <w:rFonts w:hint="eastAsia" w:eastAsia="仿宋" w:cs="仿宋"/>
                <w:sz w:val="24"/>
                <w:szCs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4" w:hRule="atLeast"/>
          <w:jc w:val="center"/>
        </w:trPr>
        <w:tc>
          <w:tcPr>
            <w:tcW w:w="4288" w:type="dxa"/>
            <w:noWrap w:val="0"/>
            <w:vAlign w:val="center"/>
          </w:tcPr>
          <w:p>
            <w:pPr>
              <w:widowControl/>
              <w:spacing w:line="240" w:lineRule="exact"/>
              <w:jc w:val="center"/>
              <w:textAlignment w:val="center"/>
              <w:rPr>
                <w:rFonts w:cs="仿宋_GB2312"/>
                <w:kern w:val="0"/>
                <w:sz w:val="24"/>
                <w:szCs w:val="24"/>
              </w:rPr>
            </w:pPr>
            <w:r>
              <w:rPr>
                <w:rFonts w:hint="eastAsia" w:cs="仿宋_GB2312"/>
                <w:kern w:val="0"/>
                <w:sz w:val="24"/>
                <w:szCs w:val="24"/>
              </w:rPr>
              <w:t>食品安全城市工作经费</w:t>
            </w:r>
          </w:p>
        </w:tc>
        <w:tc>
          <w:tcPr>
            <w:tcW w:w="3527" w:type="dxa"/>
            <w:noWrap w:val="0"/>
            <w:vAlign w:val="center"/>
          </w:tcPr>
          <w:p>
            <w:pPr>
              <w:jc w:val="center"/>
              <w:rPr>
                <w:rFonts w:eastAsia="仿宋" w:cs="仿宋"/>
                <w:sz w:val="24"/>
                <w:szCs w:val="24"/>
              </w:rPr>
            </w:pPr>
            <w:r>
              <w:rPr>
                <w:rFonts w:hint="eastAsia" w:eastAsia="仿宋" w:cs="仿宋"/>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4" w:hRule="atLeast"/>
          <w:jc w:val="center"/>
        </w:trPr>
        <w:tc>
          <w:tcPr>
            <w:tcW w:w="4288" w:type="dxa"/>
            <w:noWrap w:val="0"/>
            <w:vAlign w:val="center"/>
          </w:tcPr>
          <w:p>
            <w:pPr>
              <w:widowControl/>
              <w:spacing w:line="240" w:lineRule="exact"/>
              <w:jc w:val="center"/>
              <w:textAlignment w:val="center"/>
              <w:rPr>
                <w:rFonts w:cs="仿宋_GB2312"/>
                <w:kern w:val="0"/>
                <w:sz w:val="24"/>
                <w:szCs w:val="24"/>
              </w:rPr>
            </w:pPr>
            <w:r>
              <w:rPr>
                <w:rFonts w:hint="eastAsia" w:cs="仿宋_GB2312"/>
                <w:kern w:val="0"/>
                <w:sz w:val="24"/>
                <w:szCs w:val="24"/>
              </w:rPr>
              <w:t>食品药品监督管理工作经费</w:t>
            </w:r>
          </w:p>
        </w:tc>
        <w:tc>
          <w:tcPr>
            <w:tcW w:w="3527" w:type="dxa"/>
            <w:noWrap w:val="0"/>
            <w:vAlign w:val="center"/>
          </w:tcPr>
          <w:p>
            <w:pPr>
              <w:jc w:val="center"/>
              <w:rPr>
                <w:rFonts w:eastAsia="仿宋" w:cs="仿宋"/>
                <w:sz w:val="24"/>
                <w:szCs w:val="24"/>
              </w:rPr>
            </w:pPr>
            <w:r>
              <w:rPr>
                <w:rFonts w:hint="eastAsia" w:eastAsia="仿宋" w:cs="仿宋"/>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4" w:hRule="atLeast"/>
          <w:jc w:val="center"/>
        </w:trPr>
        <w:tc>
          <w:tcPr>
            <w:tcW w:w="4288" w:type="dxa"/>
            <w:noWrap w:val="0"/>
            <w:vAlign w:val="center"/>
          </w:tcPr>
          <w:p>
            <w:pPr>
              <w:widowControl/>
              <w:spacing w:line="240" w:lineRule="exact"/>
              <w:jc w:val="center"/>
              <w:textAlignment w:val="center"/>
              <w:rPr>
                <w:rFonts w:cs="仿宋_GB2312"/>
                <w:kern w:val="0"/>
                <w:sz w:val="24"/>
                <w:szCs w:val="24"/>
              </w:rPr>
            </w:pPr>
            <w:r>
              <w:rPr>
                <w:rFonts w:hint="eastAsia" w:cs="仿宋_GB2312"/>
                <w:kern w:val="0"/>
                <w:sz w:val="24"/>
                <w:szCs w:val="24"/>
              </w:rPr>
              <w:t>基层分局工作经费</w:t>
            </w:r>
          </w:p>
        </w:tc>
        <w:tc>
          <w:tcPr>
            <w:tcW w:w="3527" w:type="dxa"/>
            <w:noWrap w:val="0"/>
            <w:vAlign w:val="center"/>
          </w:tcPr>
          <w:p>
            <w:pPr>
              <w:jc w:val="center"/>
              <w:rPr>
                <w:rFonts w:eastAsia="仿宋" w:cs="仿宋"/>
                <w:sz w:val="24"/>
                <w:szCs w:val="24"/>
              </w:rPr>
            </w:pPr>
            <w:r>
              <w:rPr>
                <w:rFonts w:hint="eastAsia" w:eastAsia="仿宋" w:cs="仿宋"/>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4" w:hRule="atLeast"/>
          <w:jc w:val="center"/>
        </w:trPr>
        <w:tc>
          <w:tcPr>
            <w:tcW w:w="4288" w:type="dxa"/>
            <w:noWrap w:val="0"/>
            <w:vAlign w:val="center"/>
          </w:tcPr>
          <w:p>
            <w:pPr>
              <w:widowControl/>
              <w:jc w:val="center"/>
              <w:textAlignment w:val="center"/>
              <w:rPr>
                <w:rFonts w:cs="仿宋_GB2312"/>
                <w:kern w:val="0"/>
                <w:sz w:val="24"/>
                <w:szCs w:val="24"/>
              </w:rPr>
            </w:pPr>
            <w:r>
              <w:rPr>
                <w:rFonts w:hint="eastAsia" w:cs="仿宋_GB2312"/>
                <w:kern w:val="0"/>
                <w:sz w:val="24"/>
                <w:szCs w:val="24"/>
              </w:rPr>
              <w:t>信息化建设工作经费</w:t>
            </w:r>
          </w:p>
        </w:tc>
        <w:tc>
          <w:tcPr>
            <w:tcW w:w="3527" w:type="dxa"/>
            <w:noWrap w:val="0"/>
            <w:vAlign w:val="center"/>
          </w:tcPr>
          <w:p>
            <w:pPr>
              <w:jc w:val="center"/>
              <w:rPr>
                <w:rFonts w:eastAsia="仿宋" w:cs="仿宋"/>
                <w:sz w:val="24"/>
                <w:szCs w:val="24"/>
              </w:rPr>
            </w:pPr>
            <w:r>
              <w:rPr>
                <w:rFonts w:hint="eastAsia" w:eastAsia="仿宋" w:cs="仿宋"/>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4" w:hRule="atLeast"/>
          <w:jc w:val="center"/>
        </w:trPr>
        <w:tc>
          <w:tcPr>
            <w:tcW w:w="4288" w:type="dxa"/>
            <w:noWrap w:val="0"/>
            <w:vAlign w:val="center"/>
          </w:tcPr>
          <w:p>
            <w:pPr>
              <w:widowControl/>
              <w:jc w:val="center"/>
              <w:textAlignment w:val="center"/>
              <w:rPr>
                <w:rFonts w:cs="仿宋_GB2312"/>
                <w:kern w:val="0"/>
                <w:sz w:val="24"/>
                <w:szCs w:val="24"/>
              </w:rPr>
            </w:pPr>
            <w:r>
              <w:rPr>
                <w:rFonts w:hint="eastAsia" w:cs="仿宋_GB2312"/>
                <w:kern w:val="0"/>
                <w:sz w:val="24"/>
                <w:szCs w:val="24"/>
              </w:rPr>
              <w:t>扫黑除恶工作经费</w:t>
            </w:r>
          </w:p>
        </w:tc>
        <w:tc>
          <w:tcPr>
            <w:tcW w:w="3527" w:type="dxa"/>
            <w:noWrap w:val="0"/>
            <w:vAlign w:val="center"/>
          </w:tcPr>
          <w:p>
            <w:pPr>
              <w:jc w:val="center"/>
              <w:rPr>
                <w:rFonts w:eastAsia="仿宋" w:cs="仿宋"/>
                <w:sz w:val="24"/>
                <w:szCs w:val="24"/>
              </w:rPr>
            </w:pPr>
            <w:r>
              <w:rPr>
                <w:rFonts w:hint="eastAsia" w:eastAsia="仿宋" w:cs="仿宋"/>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4" w:hRule="atLeast"/>
          <w:jc w:val="center"/>
        </w:trPr>
        <w:tc>
          <w:tcPr>
            <w:tcW w:w="4288" w:type="dxa"/>
            <w:noWrap w:val="0"/>
            <w:vAlign w:val="center"/>
          </w:tcPr>
          <w:p>
            <w:pPr>
              <w:widowControl/>
              <w:jc w:val="center"/>
              <w:textAlignment w:val="center"/>
              <w:rPr>
                <w:rFonts w:cs="仿宋_GB2312"/>
                <w:kern w:val="0"/>
                <w:sz w:val="24"/>
                <w:szCs w:val="24"/>
              </w:rPr>
            </w:pPr>
            <w:r>
              <w:rPr>
                <w:rFonts w:hint="eastAsia" w:cs="仿宋_GB2312"/>
                <w:kern w:val="0"/>
                <w:sz w:val="24"/>
                <w:szCs w:val="24"/>
              </w:rPr>
              <w:t>党建工作经费</w:t>
            </w:r>
          </w:p>
        </w:tc>
        <w:tc>
          <w:tcPr>
            <w:tcW w:w="3527" w:type="dxa"/>
            <w:noWrap w:val="0"/>
            <w:vAlign w:val="center"/>
          </w:tcPr>
          <w:p>
            <w:pPr>
              <w:jc w:val="center"/>
              <w:rPr>
                <w:rFonts w:eastAsia="仿宋" w:cs="仿宋"/>
                <w:sz w:val="24"/>
                <w:szCs w:val="24"/>
              </w:rPr>
            </w:pPr>
            <w:r>
              <w:rPr>
                <w:rFonts w:hint="eastAsia" w:eastAsia="仿宋" w:cs="仿宋"/>
                <w:sz w:val="24"/>
                <w:szCs w:val="24"/>
              </w:rPr>
              <w:t>95%</w:t>
            </w:r>
          </w:p>
        </w:tc>
      </w:tr>
    </w:tbl>
    <w:p>
      <w:pPr>
        <w:spacing w:line="360" w:lineRule="auto"/>
        <w:ind w:firstLine="640" w:firstLineChars="200"/>
        <w:rPr>
          <w:rFonts w:ascii="黑体" w:hAnsi="黑体" w:eastAsia="黑体"/>
          <w:sz w:val="32"/>
          <w:szCs w:val="32"/>
        </w:rPr>
      </w:pPr>
    </w:p>
    <w:p>
      <w:pPr>
        <w:spacing w:line="360" w:lineRule="auto"/>
        <w:ind w:firstLine="640" w:firstLineChars="200"/>
        <w:rPr>
          <w:rFonts w:ascii="黑体" w:hAnsi="黑体" w:eastAsia="黑体"/>
          <w:sz w:val="32"/>
          <w:szCs w:val="32"/>
        </w:rPr>
      </w:pPr>
      <w:r>
        <w:rPr>
          <w:rFonts w:hint="eastAsia" w:ascii="黑体" w:hAnsi="黑体" w:eastAsia="黑体"/>
          <w:sz w:val="32"/>
          <w:szCs w:val="32"/>
        </w:rPr>
        <w:t>五、偏离绩效目标的原因和下一步改进措施</w:t>
      </w:r>
    </w:p>
    <w:p>
      <w:pPr>
        <w:spacing w:line="360" w:lineRule="auto"/>
        <w:ind w:firstLine="600" w:firstLineChars="200"/>
        <w:rPr>
          <w:rFonts w:ascii="仿宋" w:hAnsi="仿宋" w:eastAsia="仿宋" w:cs="仿宋"/>
          <w:sz w:val="32"/>
          <w:szCs w:val="32"/>
        </w:rPr>
      </w:pPr>
      <w:r>
        <w:rPr>
          <w:rFonts w:hint="eastAsia" w:ascii="仿宋" w:hAnsi="仿宋" w:eastAsia="仿宋" w:cs="仿宋"/>
          <w:sz w:val="30"/>
          <w:szCs w:val="30"/>
        </w:rPr>
        <w:t>2021年，本单位项目绩效指标总体较好，个别绩效指标与年初设定的目标出现偏离，主要原因，由于疫情原因，从而影响了项目实施进度，下一步将加强项目实施进展程度，合理规划时间。</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六、绩效自评结果拟应用和公开情况</w:t>
      </w:r>
    </w:p>
    <w:p>
      <w:pPr>
        <w:spacing w:line="360" w:lineRule="auto"/>
        <w:ind w:firstLine="600" w:firstLineChars="200"/>
        <w:rPr>
          <w:rFonts w:ascii="仿宋" w:hAnsi="仿宋" w:eastAsia="仿宋"/>
          <w:sz w:val="30"/>
          <w:szCs w:val="30"/>
        </w:rPr>
      </w:pPr>
      <w:r>
        <w:rPr>
          <w:rFonts w:hint="eastAsia" w:ascii="仿宋" w:hAnsi="仿宋" w:eastAsia="仿宋"/>
          <w:sz w:val="30"/>
          <w:szCs w:val="30"/>
        </w:rPr>
        <w:t>通过资金绩效自评，放大坐标找不足，提高标准找差距，进一步提高了资金使用率，达到既定的绩效目标。自评价平均总得分为94.79分，评价结论为“优”。</w:t>
      </w:r>
    </w:p>
    <w:p>
      <w:pPr>
        <w:pStyle w:val="2"/>
        <w:spacing w:line="360" w:lineRule="auto"/>
        <w:ind w:left="0" w:leftChars="0" w:firstLine="640"/>
        <w:rPr>
          <w:rFonts w:ascii="仿宋" w:hAnsi="仿宋" w:eastAsia="仿宋"/>
          <w:sz w:val="30"/>
          <w:szCs w:val="30"/>
        </w:rPr>
      </w:pPr>
      <w:r>
        <w:rPr>
          <w:rFonts w:hint="eastAsia" w:ascii="仿宋" w:hAnsi="仿宋" w:eastAsia="仿宋"/>
          <w:sz w:val="30"/>
          <w:szCs w:val="30"/>
        </w:rPr>
        <w:t>根据相关规定，为保障资金合理使用，推进工作的有效进展，将资金运用情况在门户网站向社会公开。</w:t>
      </w:r>
    </w:p>
    <w:p>
      <w:pPr>
        <w:numPr>
          <w:ilvl w:val="0"/>
          <w:numId w:val="4"/>
        </w:numPr>
        <w:spacing w:line="360" w:lineRule="auto"/>
        <w:ind w:firstLine="642" w:firstLineChars="200"/>
        <w:rPr>
          <w:rFonts w:ascii="仿宋" w:hAnsi="仿宋" w:eastAsia="仿宋"/>
          <w:b/>
          <w:bCs/>
          <w:sz w:val="32"/>
          <w:szCs w:val="32"/>
        </w:rPr>
      </w:pPr>
      <w:r>
        <w:rPr>
          <w:rFonts w:hint="eastAsia" w:ascii="仿宋" w:hAnsi="仿宋" w:eastAsia="仿宋"/>
          <w:b/>
          <w:bCs/>
          <w:sz w:val="32"/>
          <w:szCs w:val="32"/>
        </w:rPr>
        <w:t>其他需要说明的</w:t>
      </w:r>
    </w:p>
    <w:p>
      <w:pPr>
        <w:pStyle w:val="2"/>
        <w:ind w:firstLine="643"/>
        <w:sectPr>
          <w:pgSz w:w="11910" w:h="16840"/>
          <w:pgMar w:top="1580" w:right="1200" w:bottom="1440" w:left="1360" w:header="720" w:footer="720" w:gutter="0"/>
          <w:cols w:space="720" w:num="1"/>
        </w:sectPr>
      </w:pPr>
      <w:r>
        <w:rPr>
          <w:rFonts w:hint="eastAsia" w:ascii="仿宋" w:hAnsi="仿宋" w:eastAsia="仿宋"/>
          <w:b/>
          <w:bCs/>
          <w:sz w:val="32"/>
          <w:szCs w:val="32"/>
        </w:rPr>
        <w:t>无</w:t>
      </w:r>
    </w:p>
    <w:p>
      <w:pPr>
        <w:pStyle w:val="2"/>
        <w:ind w:firstLine="600"/>
        <w:rPr>
          <w:rFonts w:hint="eastAsia" w:eastAsia="仿宋_GB2312"/>
          <w:lang w:eastAsia="zh-CN"/>
        </w:rPr>
      </w:pPr>
      <w:r>
        <w:rPr>
          <w:rFonts w:hint="eastAsia" w:eastAsia="仿宋_GB2312"/>
          <w:lang w:eastAsia="zh-CN"/>
        </w:rPr>
        <w:drawing>
          <wp:inline distT="0" distB="0" distL="114300" distR="114300">
            <wp:extent cx="5757545" cy="7376160"/>
            <wp:effectExtent l="0" t="0" r="14605" b="15240"/>
            <wp:docPr id="11" name="图片 13" descr="166634907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1666349070776"/>
                    <pic:cNvPicPr>
                      <a:picLocks noChangeAspect="1"/>
                    </pic:cNvPicPr>
                  </pic:nvPicPr>
                  <pic:blipFill>
                    <a:blip r:embed="rId23"/>
                    <a:stretch>
                      <a:fillRect/>
                    </a:stretch>
                  </pic:blipFill>
                  <pic:spPr>
                    <a:xfrm>
                      <a:off x="0" y="0"/>
                      <a:ext cx="5757545" cy="7376160"/>
                    </a:xfrm>
                    <a:prstGeom prst="rect">
                      <a:avLst/>
                    </a:prstGeom>
                    <a:noFill/>
                    <a:ln>
                      <a:noFill/>
                    </a:ln>
                  </pic:spPr>
                </pic:pic>
              </a:graphicData>
            </a:graphic>
          </wp:inline>
        </w:drawing>
      </w:r>
    </w:p>
    <w:p>
      <w:pPr>
        <w:pStyle w:val="2"/>
        <w:ind w:firstLine="600"/>
        <w:rPr>
          <w:rFonts w:hint="eastAsia" w:eastAsia="仿宋_GB2312"/>
          <w:lang w:eastAsia="zh-CN"/>
        </w:rPr>
      </w:pPr>
      <w:r>
        <w:rPr>
          <w:rFonts w:hint="eastAsia" w:eastAsia="仿宋_GB2312"/>
          <w:lang w:eastAsia="zh-CN"/>
        </w:rPr>
        <w:drawing>
          <wp:inline distT="0" distB="0" distL="114300" distR="114300">
            <wp:extent cx="5755640" cy="8070215"/>
            <wp:effectExtent l="0" t="0" r="16510" b="6985"/>
            <wp:docPr id="12" name="图片 15" descr="166770445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descr="1667704450170"/>
                    <pic:cNvPicPr>
                      <a:picLocks noChangeAspect="1"/>
                    </pic:cNvPicPr>
                  </pic:nvPicPr>
                  <pic:blipFill>
                    <a:blip r:embed="rId24"/>
                    <a:stretch>
                      <a:fillRect/>
                    </a:stretch>
                  </pic:blipFill>
                  <pic:spPr>
                    <a:xfrm>
                      <a:off x="0" y="0"/>
                      <a:ext cx="5755640" cy="8070215"/>
                    </a:xfrm>
                    <a:prstGeom prst="rect">
                      <a:avLst/>
                    </a:prstGeom>
                    <a:noFill/>
                    <a:ln>
                      <a:noFill/>
                    </a:ln>
                  </pic:spPr>
                </pic:pic>
              </a:graphicData>
            </a:graphic>
          </wp:inline>
        </w:drawing>
      </w:r>
    </w:p>
    <w:p>
      <w:pPr>
        <w:pStyle w:val="2"/>
        <w:ind w:firstLine="600"/>
        <w:rPr>
          <w:rFonts w:hint="eastAsia"/>
        </w:rPr>
      </w:pPr>
    </w:p>
    <w:p>
      <w:pPr>
        <w:autoSpaceDE w:val="0"/>
        <w:autoSpaceDN w:val="0"/>
        <w:adjustRightInd w:val="0"/>
        <w:spacing w:line="360" w:lineRule="auto"/>
        <w:ind w:firstLine="6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（三）部门评价项目绩效评价结果。</w:t>
      </w:r>
    </w:p>
    <w:p>
      <w:pPr>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rPr>
        <w:t xml:space="preserve"> 项目支出绩效评价报告</w:t>
      </w:r>
    </w:p>
    <w:p>
      <w:pPr>
        <w:rPr>
          <w:rFonts w:hint="eastAsia" w:ascii="黑体" w:hAnsi="宋体" w:eastAsia="黑体" w:cs="Arial"/>
          <w:bCs/>
          <w:color w:val="000000"/>
          <w:sz w:val="32"/>
          <w:szCs w:val="32"/>
        </w:rPr>
      </w:pPr>
    </w:p>
    <w:p>
      <w:pPr>
        <w:spacing w:line="600" w:lineRule="exact"/>
        <w:ind w:firstLine="160" w:firstLineChars="50"/>
        <w:rPr>
          <w:rFonts w:ascii="黑体" w:hAnsi="黑体" w:eastAsia="黑体" w:cs="黑体"/>
          <w:bCs/>
          <w:color w:val="000000"/>
          <w:sz w:val="32"/>
          <w:szCs w:val="32"/>
          <w:u w:val="single"/>
        </w:rPr>
      </w:pPr>
      <w:r>
        <w:rPr>
          <w:rFonts w:hint="eastAsia" w:ascii="黑体" w:hAnsi="宋体" w:eastAsia="黑体" w:cs="Arial"/>
          <w:bCs/>
          <w:color w:val="000000"/>
          <w:sz w:val="32"/>
          <w:szCs w:val="32"/>
        </w:rPr>
        <w:t>项目名称：</w:t>
      </w:r>
      <w:r>
        <w:rPr>
          <w:rFonts w:hint="eastAsia" w:ascii="黑体" w:hAnsi="黑体" w:eastAsia="黑体" w:cs="黑体"/>
          <w:bCs/>
          <w:color w:val="000000"/>
          <w:sz w:val="32"/>
          <w:szCs w:val="32"/>
          <w:u w:val="single"/>
        </w:rPr>
        <w:t xml:space="preserve">          执法办案设备更新维护经费              </w:t>
      </w:r>
    </w:p>
    <w:p>
      <w:pPr>
        <w:spacing w:line="600" w:lineRule="exact"/>
        <w:rPr>
          <w:rFonts w:ascii="黑体" w:hAnsi="宋体" w:eastAsia="黑体" w:cs="Arial"/>
          <w:bCs/>
          <w:color w:val="000000"/>
          <w:sz w:val="32"/>
          <w:szCs w:val="32"/>
        </w:rPr>
      </w:pPr>
      <w:r>
        <w:rPr>
          <w:rFonts w:hint="eastAsia" w:ascii="黑体" w:hAnsi="宋体" w:eastAsia="黑体" w:cs="Arial"/>
          <w:bCs/>
          <w:color w:val="000000"/>
          <w:sz w:val="32"/>
          <w:szCs w:val="32"/>
        </w:rPr>
        <w:t xml:space="preserve">   </w:t>
      </w: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项目类别：</w:t>
      </w:r>
      <w:r>
        <w:rPr>
          <w:rFonts w:hint="eastAsia" w:ascii="黑体" w:hAnsi="黑体" w:eastAsia="黑体" w:cs="黑体"/>
          <w:bCs/>
          <w:color w:val="000000"/>
          <w:sz w:val="32"/>
          <w:szCs w:val="32"/>
          <w:u w:val="single"/>
        </w:rPr>
        <w:t xml:space="preserve">                 其他类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实施单位：</w:t>
      </w:r>
      <w:r>
        <w:rPr>
          <w:rFonts w:hint="eastAsia" w:ascii="黑体" w:hAnsi="黑体" w:eastAsia="黑体" w:cs="黑体"/>
          <w:bCs/>
          <w:color w:val="000000"/>
          <w:sz w:val="32"/>
          <w:szCs w:val="32"/>
          <w:u w:val="single"/>
        </w:rPr>
        <w:t xml:space="preserve">        </w:t>
      </w:r>
      <w:r>
        <w:rPr>
          <w:rFonts w:hint="eastAsia" w:ascii="黑体" w:hAnsi="宋体" w:eastAsia="黑体" w:cs="Arial"/>
          <w:bCs/>
          <w:color w:val="000000"/>
          <w:sz w:val="32"/>
          <w:szCs w:val="32"/>
          <w:u w:val="single"/>
        </w:rPr>
        <w:t>南昌市湾里市场监督管理局</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jc w:val="left"/>
        <w:rPr>
          <w:rFonts w:ascii="黑体" w:hAnsi="黑体" w:eastAsia="黑体" w:cs="黑体"/>
          <w:bCs/>
          <w:color w:val="000000"/>
          <w:sz w:val="32"/>
          <w:szCs w:val="32"/>
          <w:u w:val="single"/>
        </w:rPr>
      </w:pPr>
      <w:r>
        <w:rPr>
          <w:rFonts w:hint="eastAsia" w:ascii="黑体" w:hAnsi="宋体" w:eastAsia="黑体" w:cs="Arial"/>
          <w:bCs/>
          <w:color w:val="000000"/>
          <w:sz w:val="32"/>
          <w:szCs w:val="32"/>
        </w:rPr>
        <w:t>主管部门：</w:t>
      </w:r>
      <w:r>
        <w:rPr>
          <w:rFonts w:hint="eastAsia" w:ascii="黑体" w:hAnsi="宋体" w:eastAsia="黑体" w:cs="Arial"/>
          <w:bCs/>
          <w:color w:val="000000"/>
          <w:sz w:val="32"/>
          <w:szCs w:val="32"/>
          <w:u w:val="single"/>
        </w:rPr>
        <w:t xml:space="preserve">       南昌市湾里市场监督管理局  </w:t>
      </w:r>
      <w:r>
        <w:rPr>
          <w:rFonts w:hint="eastAsia" w:ascii="黑体" w:hAnsi="黑体" w:eastAsia="黑体" w:cs="黑体"/>
          <w:bCs/>
          <w:color w:val="000000"/>
          <w:sz w:val="32"/>
          <w:szCs w:val="32"/>
          <w:u w:val="single"/>
        </w:rPr>
        <w:t xml:space="preserve"> （盖章）</w:t>
      </w:r>
    </w:p>
    <w:p>
      <w:pPr>
        <w:spacing w:line="600" w:lineRule="exact"/>
        <w:rPr>
          <w:rFonts w:ascii="黑体" w:hAnsi="宋体" w:eastAsia="黑体" w:cs="Arial"/>
          <w:bCs/>
          <w:color w:val="000000"/>
          <w:sz w:val="32"/>
          <w:szCs w:val="32"/>
        </w:rPr>
      </w:pPr>
      <w:r>
        <w:rPr>
          <w:rFonts w:hint="eastAsia" w:ascii="黑体" w:hAnsi="宋体" w:eastAsia="黑体" w:cs="Arial"/>
          <w:bCs/>
          <w:color w:val="000000"/>
          <w:sz w:val="32"/>
          <w:szCs w:val="32"/>
        </w:rPr>
        <w:t xml:space="preserve">  </w:t>
      </w: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评价机构：</w:t>
      </w:r>
      <w:r>
        <w:rPr>
          <w:rFonts w:hint="eastAsia" w:ascii="黑体" w:hAnsi="黑体" w:eastAsia="黑体" w:cs="黑体"/>
          <w:bCs/>
          <w:color w:val="000000"/>
          <w:sz w:val="32"/>
          <w:szCs w:val="32"/>
          <w:u w:val="single"/>
        </w:rPr>
        <w:t xml:space="preserve">                                  （盖章）</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评价年度：</w:t>
      </w:r>
      <w:r>
        <w:rPr>
          <w:rFonts w:hint="eastAsia" w:ascii="黑体" w:hAnsi="黑体" w:eastAsia="黑体" w:cs="黑体"/>
          <w:bCs/>
          <w:color w:val="000000"/>
          <w:sz w:val="32"/>
          <w:szCs w:val="32"/>
          <w:u w:val="single"/>
        </w:rPr>
        <w:t xml:space="preserve">               2021年度                  </w:t>
      </w:r>
    </w:p>
    <w:p>
      <w:pP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r>
        <w:rPr>
          <w:rFonts w:hint="eastAsia" w:ascii="黑体" w:hAnsi="宋体" w:eastAsia="黑体" w:cs="Arial"/>
          <w:bCs/>
          <w:color w:val="000000"/>
          <w:sz w:val="32"/>
          <w:szCs w:val="32"/>
        </w:rPr>
        <w:t>2022年4月10日</w:t>
      </w: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tbl>
      <w:tblPr>
        <w:tblStyle w:val="9"/>
        <w:tblW w:w="8928" w:type="dxa"/>
        <w:jc w:val="center"/>
        <w:tblLayout w:type="fixed"/>
        <w:tblCellMar>
          <w:top w:w="0" w:type="dxa"/>
          <w:left w:w="108" w:type="dxa"/>
          <w:bottom w:w="0" w:type="dxa"/>
          <w:right w:w="108" w:type="dxa"/>
        </w:tblCellMar>
      </w:tblPr>
      <w:tblGrid>
        <w:gridCol w:w="1850"/>
        <w:gridCol w:w="3603"/>
        <w:gridCol w:w="2083"/>
        <w:gridCol w:w="1392"/>
      </w:tblGrid>
      <w:tr>
        <w:tblPrEx>
          <w:tblCellMar>
            <w:top w:w="0" w:type="dxa"/>
            <w:left w:w="108" w:type="dxa"/>
            <w:bottom w:w="0" w:type="dxa"/>
            <w:right w:w="108" w:type="dxa"/>
          </w:tblCellMar>
        </w:tblPrEx>
        <w:trPr>
          <w:trHeight w:val="745" w:hRule="atLeast"/>
          <w:jc w:val="center"/>
        </w:trPr>
        <w:tc>
          <w:tcPr>
            <w:tcW w:w="892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eastAsia="黑体"/>
                <w:color w:val="000000"/>
                <w:sz w:val="28"/>
                <w:szCs w:val="28"/>
              </w:rPr>
            </w:pPr>
            <w:r>
              <w:rPr>
                <w:rFonts w:hint="eastAsia" w:ascii="黑体" w:hAnsi="黑体" w:eastAsia="黑体" w:cs="黑体"/>
                <w:bCs/>
                <w:color w:val="000000"/>
                <w:sz w:val="28"/>
                <w:szCs w:val="28"/>
              </w:rPr>
              <w:t>项目绩效评价人员</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姓  名</w:t>
            </w:r>
          </w:p>
        </w:tc>
        <w:tc>
          <w:tcPr>
            <w:tcW w:w="36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单  位</w:t>
            </w:r>
          </w:p>
        </w:tc>
        <w:tc>
          <w:tcPr>
            <w:tcW w:w="208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职称/职务</w:t>
            </w:r>
          </w:p>
        </w:tc>
        <w:tc>
          <w:tcPr>
            <w:tcW w:w="13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签  名</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sz w:val="28"/>
                <w:szCs w:val="28"/>
              </w:rPr>
            </w:pPr>
            <w:r>
              <w:rPr>
                <w:rFonts w:hint="eastAsia" w:ascii="黑体" w:hAnsi="宋体" w:eastAsia="黑体"/>
                <w:sz w:val="28"/>
                <w:szCs w:val="28"/>
              </w:rPr>
              <w:t>徐志强</w:t>
            </w:r>
          </w:p>
        </w:tc>
        <w:tc>
          <w:tcPr>
            <w:tcW w:w="36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hint="eastAsia" w:ascii="黑体" w:hAnsi="宋体" w:eastAsia="黑体"/>
                <w:sz w:val="28"/>
                <w:szCs w:val="28"/>
              </w:rPr>
            </w:pPr>
            <w:r>
              <w:rPr>
                <w:rFonts w:hint="eastAsia" w:ascii="黑体" w:hAnsi="宋体" w:eastAsia="黑体"/>
                <w:sz w:val="28"/>
                <w:szCs w:val="28"/>
              </w:rPr>
              <w:t>南昌市湾里市场监督管理局</w:t>
            </w:r>
          </w:p>
        </w:tc>
        <w:tc>
          <w:tcPr>
            <w:tcW w:w="208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sz w:val="28"/>
                <w:szCs w:val="28"/>
              </w:rPr>
            </w:pPr>
            <w:r>
              <w:rPr>
                <w:rFonts w:hint="eastAsia" w:ascii="黑体" w:hAnsi="宋体" w:eastAsia="黑体"/>
                <w:sz w:val="28"/>
                <w:szCs w:val="28"/>
              </w:rPr>
              <w:t>局长</w:t>
            </w:r>
          </w:p>
        </w:tc>
        <w:tc>
          <w:tcPr>
            <w:tcW w:w="13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sz w:val="28"/>
                <w:szCs w:val="28"/>
              </w:rPr>
            </w:pPr>
            <w:r>
              <w:rPr>
                <w:rFonts w:hint="eastAsia" w:ascii="黑体" w:hAnsi="宋体" w:eastAsia="黑体"/>
                <w:sz w:val="28"/>
                <w:szCs w:val="28"/>
              </w:rPr>
              <w:t>王宁</w:t>
            </w:r>
          </w:p>
        </w:tc>
        <w:tc>
          <w:tcPr>
            <w:tcW w:w="3603" w:type="dxa"/>
            <w:tcBorders>
              <w:top w:val="single" w:color="000000" w:sz="4" w:space="0"/>
              <w:left w:val="single" w:color="000000" w:sz="4" w:space="0"/>
              <w:bottom w:val="single" w:color="000000" w:sz="4" w:space="0"/>
              <w:right w:val="single" w:color="000000" w:sz="4" w:space="0"/>
            </w:tcBorders>
            <w:noWrap w:val="0"/>
            <w:vAlign w:val="top"/>
          </w:tcPr>
          <w:p>
            <w:pPr>
              <w:rPr>
                <w:rFonts w:hint="eastAsia"/>
              </w:rPr>
            </w:pPr>
            <w:r>
              <w:rPr>
                <w:rFonts w:hint="eastAsia" w:ascii="黑体" w:hAnsi="宋体" w:eastAsia="黑体"/>
                <w:sz w:val="28"/>
                <w:szCs w:val="28"/>
              </w:rPr>
              <w:t>南昌市湾里市场监督管理局</w:t>
            </w:r>
          </w:p>
        </w:tc>
        <w:tc>
          <w:tcPr>
            <w:tcW w:w="208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sz w:val="28"/>
                <w:szCs w:val="28"/>
              </w:rPr>
            </w:pPr>
            <w:r>
              <w:rPr>
                <w:rFonts w:hint="eastAsia" w:ascii="黑体" w:hAnsi="宋体" w:eastAsia="黑体"/>
                <w:sz w:val="28"/>
                <w:szCs w:val="28"/>
              </w:rPr>
              <w:t>财务分管领导</w:t>
            </w:r>
          </w:p>
        </w:tc>
        <w:tc>
          <w:tcPr>
            <w:tcW w:w="13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808"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sz w:val="28"/>
                <w:szCs w:val="28"/>
              </w:rPr>
            </w:pPr>
            <w:r>
              <w:rPr>
                <w:rFonts w:hint="eastAsia" w:ascii="黑体" w:hAnsi="宋体" w:eastAsia="黑体"/>
                <w:sz w:val="28"/>
                <w:szCs w:val="28"/>
              </w:rPr>
              <w:t>严君敏</w:t>
            </w:r>
          </w:p>
        </w:tc>
        <w:tc>
          <w:tcPr>
            <w:tcW w:w="3603" w:type="dxa"/>
            <w:tcBorders>
              <w:top w:val="single" w:color="000000" w:sz="4" w:space="0"/>
              <w:left w:val="single" w:color="000000" w:sz="4" w:space="0"/>
              <w:bottom w:val="single" w:color="000000" w:sz="4" w:space="0"/>
              <w:right w:val="single" w:color="000000" w:sz="4" w:space="0"/>
            </w:tcBorders>
            <w:noWrap w:val="0"/>
            <w:vAlign w:val="top"/>
          </w:tcPr>
          <w:p>
            <w:pPr>
              <w:rPr>
                <w:rFonts w:hint="eastAsia"/>
              </w:rPr>
            </w:pPr>
            <w:r>
              <w:rPr>
                <w:rFonts w:hint="eastAsia" w:ascii="黑体" w:hAnsi="宋体" w:eastAsia="黑体"/>
                <w:sz w:val="28"/>
                <w:szCs w:val="28"/>
              </w:rPr>
              <w:t>南昌市湾里市场监督管理局</w:t>
            </w:r>
          </w:p>
        </w:tc>
        <w:tc>
          <w:tcPr>
            <w:tcW w:w="208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sz w:val="28"/>
                <w:szCs w:val="28"/>
              </w:rPr>
            </w:pPr>
            <w:r>
              <w:rPr>
                <w:rFonts w:hint="eastAsia" w:ascii="黑体" w:hAnsi="宋体" w:eastAsia="黑体"/>
                <w:sz w:val="28"/>
                <w:szCs w:val="28"/>
              </w:rPr>
              <w:t>办公室主任</w:t>
            </w:r>
          </w:p>
        </w:tc>
        <w:tc>
          <w:tcPr>
            <w:tcW w:w="13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6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08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9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1439"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评价组组长</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(签名):</w:t>
            </w:r>
          </w:p>
        </w:tc>
        <w:tc>
          <w:tcPr>
            <w:tcW w:w="36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4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2022 年 4 月 10 日</w:t>
            </w:r>
          </w:p>
        </w:tc>
      </w:tr>
      <w:tr>
        <w:tblPrEx>
          <w:tblCellMar>
            <w:top w:w="0" w:type="dxa"/>
            <w:left w:w="108" w:type="dxa"/>
            <w:bottom w:w="0" w:type="dxa"/>
            <w:right w:w="108" w:type="dxa"/>
          </w:tblCellMar>
        </w:tblPrEx>
        <w:trPr>
          <w:trHeight w:val="1602"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中介机构</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（盖章）:</w:t>
            </w:r>
          </w:p>
        </w:tc>
        <w:tc>
          <w:tcPr>
            <w:tcW w:w="36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4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2022 年 4 月 10 日</w:t>
            </w:r>
          </w:p>
        </w:tc>
      </w:tr>
    </w:tbl>
    <w:p>
      <w:pPr>
        <w:jc w:val="left"/>
        <w:rPr>
          <w:rFonts w:hint="eastAsia" w:ascii="黑体" w:hAnsi="宋体" w:eastAsia="黑体"/>
          <w:color w:val="000000"/>
          <w:sz w:val="24"/>
          <w:szCs w:val="24"/>
        </w:rPr>
      </w:pPr>
    </w:p>
    <w:p>
      <w:pPr>
        <w:jc w:val="left"/>
        <w:rPr>
          <w:rFonts w:hint="eastAsia" w:ascii="黑体" w:hAnsi="宋体" w:eastAsia="黑体"/>
          <w:color w:val="000000"/>
          <w:sz w:val="24"/>
          <w:szCs w:val="24"/>
        </w:rPr>
      </w:pPr>
      <w:r>
        <w:rPr>
          <w:rFonts w:hint="eastAsia" w:ascii="黑体" w:hAnsi="宋体" w:eastAsia="黑体"/>
          <w:color w:val="000000"/>
          <w:sz w:val="24"/>
          <w:szCs w:val="24"/>
        </w:rPr>
        <w:t>注：1.评价小组须不低于3人，如未委托第三方机构，则最后一行无需填写；</w:t>
      </w:r>
    </w:p>
    <w:p>
      <w:pPr>
        <w:jc w:val="left"/>
        <w:rPr>
          <w:rFonts w:hint="eastAsia" w:ascii="黑体" w:hAnsi="黑体" w:eastAsia="黑体" w:cs="黑体"/>
          <w:bCs/>
          <w:color w:val="000000"/>
          <w:sz w:val="24"/>
          <w:szCs w:val="24"/>
        </w:rPr>
      </w:pPr>
      <w:r>
        <w:rPr>
          <w:rFonts w:hint="eastAsia" w:ascii="黑体" w:hAnsi="宋体" w:eastAsia="黑体"/>
          <w:color w:val="000000"/>
          <w:sz w:val="24"/>
          <w:szCs w:val="24"/>
        </w:rPr>
        <w:t xml:space="preserve">    2.所有评价人员必须亲笔签名，否则评价无效。</w:t>
      </w: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pStyle w:val="2"/>
        <w:ind w:firstLine="600"/>
        <w:rPr>
          <w:rFonts w:hint="eastAsia"/>
        </w:rPr>
      </w:pPr>
    </w:p>
    <w:p>
      <w:pPr>
        <w:pStyle w:val="4"/>
        <w:rPr>
          <w:rFonts w:hint="eastAsia"/>
        </w:rPr>
      </w:pPr>
    </w:p>
    <w:p>
      <w:pPr>
        <w:spacing w:line="360" w:lineRule="auto"/>
        <w:rPr>
          <w:rFonts w:ascii="黑体" w:hAnsi="宋体" w:eastAsia="黑体" w:cs="Arial"/>
          <w:bCs/>
          <w:color w:val="000000"/>
          <w:sz w:val="32"/>
          <w:szCs w:val="32"/>
        </w:rPr>
      </w:pPr>
      <w:r>
        <w:rPr>
          <w:rFonts w:hint="eastAsia" w:ascii="黑体" w:hAnsi="宋体" w:eastAsia="黑体" w:cs="Arial"/>
          <w:bCs/>
          <w:color w:val="000000"/>
          <w:sz w:val="32"/>
          <w:szCs w:val="32"/>
        </w:rPr>
        <w:t>附件9-2：</w:t>
      </w:r>
    </w:p>
    <w:p>
      <w:pPr>
        <w:widowControl/>
        <w:spacing w:line="360" w:lineRule="auto"/>
        <w:jc w:val="center"/>
        <w:rPr>
          <w:rFonts w:hint="eastAsia" w:ascii="仿宋" w:hAnsi="仿宋" w:eastAsia="仿宋" w:cs="仿宋"/>
          <w:b/>
          <w:color w:val="000000"/>
          <w:kern w:val="0"/>
          <w:sz w:val="36"/>
          <w:szCs w:val="36"/>
        </w:rPr>
      </w:pPr>
      <w:r>
        <w:rPr>
          <w:rFonts w:hint="eastAsia" w:ascii="仿宋" w:hAnsi="仿宋" w:eastAsia="仿宋" w:cs="仿宋"/>
          <w:b/>
          <w:color w:val="000000"/>
          <w:kern w:val="0"/>
          <w:sz w:val="36"/>
          <w:szCs w:val="36"/>
        </w:rPr>
        <w:t>南昌市湾里市场监督管理局</w:t>
      </w:r>
    </w:p>
    <w:p>
      <w:pPr>
        <w:widowControl/>
        <w:spacing w:line="360" w:lineRule="auto"/>
        <w:jc w:val="center"/>
        <w:rPr>
          <w:rFonts w:hint="eastAsia" w:ascii="仿宋" w:hAnsi="仿宋" w:eastAsia="仿宋" w:cs="仿宋"/>
          <w:b/>
          <w:color w:val="000000"/>
          <w:kern w:val="0"/>
          <w:sz w:val="36"/>
          <w:szCs w:val="36"/>
        </w:rPr>
      </w:pPr>
      <w:r>
        <w:rPr>
          <w:rFonts w:hint="eastAsia" w:ascii="仿宋" w:hAnsi="仿宋" w:eastAsia="仿宋" w:cs="仿宋"/>
          <w:b/>
          <w:color w:val="000000"/>
          <w:kern w:val="0"/>
          <w:sz w:val="36"/>
          <w:szCs w:val="36"/>
        </w:rPr>
        <w:t>执法办案设备更新维护经费项目绩效评价报告</w:t>
      </w:r>
    </w:p>
    <w:p>
      <w:pPr>
        <w:spacing w:line="360" w:lineRule="auto"/>
        <w:ind w:firstLine="640" w:firstLineChars="200"/>
        <w:rPr>
          <w:rFonts w:hint="eastAsia" w:ascii="仿宋" w:hAnsi="仿宋" w:eastAsia="仿宋"/>
          <w:sz w:val="32"/>
          <w:szCs w:val="32"/>
        </w:rPr>
      </w:pP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为深入贯彻落实《中共南昌市委南昌市人民政府关于全面实 施预算绩效管理的实施意见》(洪发[2019] 13号)及《南昌市 财政项目支出绩效评价管理办法》( 洪财办[2020] 44号)精神，增强我局预算编制的科学性、合理性、规范性，全面提高财政资源配置效率和使用效益，加快建立全方位、全过程、全覆盖、全公开的预算绩效管理机制，我局认真组织开展了执法办案设备更新维护经费项目绩效评价工作，现报告如下：</w:t>
      </w:r>
    </w:p>
    <w:p>
      <w:pPr>
        <w:spacing w:line="600" w:lineRule="exact"/>
        <w:ind w:firstLine="602" w:firstLineChars="200"/>
        <w:outlineLvl w:val="0"/>
        <w:rPr>
          <w:rFonts w:hint="eastAsia" w:ascii="仿宋" w:hAnsi="仿宋" w:eastAsia="仿宋" w:cs="仿宋"/>
          <w:b/>
          <w:bCs/>
          <w:sz w:val="30"/>
          <w:szCs w:val="30"/>
        </w:rPr>
      </w:pPr>
      <w:r>
        <w:rPr>
          <w:rFonts w:hint="eastAsia" w:ascii="仿宋" w:hAnsi="仿宋" w:eastAsia="仿宋" w:cs="仿宋"/>
          <w:b/>
          <w:bCs/>
          <w:sz w:val="30"/>
          <w:szCs w:val="30"/>
        </w:rPr>
        <w:t>一、基本情况</w:t>
      </w:r>
    </w:p>
    <w:p>
      <w:pPr>
        <w:spacing w:line="600" w:lineRule="exact"/>
        <w:ind w:firstLine="602" w:firstLineChars="200"/>
        <w:outlineLvl w:val="0"/>
        <w:rPr>
          <w:rFonts w:hint="eastAsia" w:ascii="仿宋" w:hAnsi="仿宋" w:eastAsia="仿宋" w:cs="仿宋"/>
          <w:b/>
          <w:bCs/>
          <w:sz w:val="30"/>
          <w:szCs w:val="30"/>
        </w:rPr>
      </w:pPr>
      <w:r>
        <w:rPr>
          <w:rFonts w:hint="eastAsia" w:ascii="仿宋" w:hAnsi="仿宋" w:eastAsia="仿宋" w:cs="仿宋"/>
          <w:b/>
          <w:bCs/>
          <w:sz w:val="30"/>
          <w:szCs w:val="30"/>
        </w:rPr>
        <w:t>（一）项目概况</w:t>
      </w:r>
    </w:p>
    <w:p>
      <w:pPr>
        <w:spacing w:line="360" w:lineRule="auto"/>
        <w:ind w:firstLine="602" w:firstLineChars="200"/>
        <w:outlineLvl w:val="0"/>
        <w:rPr>
          <w:rFonts w:hint="eastAsia" w:ascii="仿宋" w:hAnsi="仿宋" w:eastAsia="仿宋" w:cs="仿宋"/>
          <w:b/>
          <w:bCs/>
          <w:sz w:val="30"/>
          <w:szCs w:val="30"/>
        </w:rPr>
      </w:pPr>
      <w:r>
        <w:rPr>
          <w:rFonts w:hint="eastAsia" w:ascii="仿宋" w:hAnsi="仿宋" w:eastAsia="仿宋" w:cs="仿宋"/>
          <w:b/>
          <w:bCs/>
          <w:sz w:val="30"/>
          <w:szCs w:val="30"/>
        </w:rPr>
        <w:t>1.项目背景</w:t>
      </w:r>
    </w:p>
    <w:p>
      <w:pPr>
        <w:spacing w:line="360" w:lineRule="auto"/>
        <w:ind w:right="-210" w:rightChars="-100" w:firstLine="600" w:firstLineChars="200"/>
        <w:rPr>
          <w:rFonts w:hint="eastAsia" w:ascii="仿宋" w:hAnsi="仿宋" w:eastAsia="仿宋" w:cs="仿宋"/>
          <w:sz w:val="30"/>
          <w:szCs w:val="30"/>
        </w:rPr>
      </w:pPr>
      <w:r>
        <w:rPr>
          <w:rFonts w:hint="eastAsia" w:ascii="仿宋" w:hAnsi="仿宋" w:eastAsia="仿宋" w:cs="仿宋"/>
          <w:sz w:val="30"/>
          <w:szCs w:val="30"/>
        </w:rPr>
        <w:t>2021年，我局</w:t>
      </w:r>
      <w:r>
        <w:rPr>
          <w:rFonts w:hint="eastAsia" w:ascii="仿宋" w:hAnsi="仿宋" w:eastAsia="仿宋" w:cs="仿宋"/>
          <w:spacing w:val="-2"/>
          <w:sz w:val="30"/>
          <w:szCs w:val="30"/>
          <w:lang w:val="zh-TW"/>
        </w:rPr>
        <w:t>着力打造“互联网+”智慧市场监管平台，探索构建网上网下一体化监管模式，监管执法精准化智能化网络化水平显著提升</w:t>
      </w:r>
      <w:r>
        <w:rPr>
          <w:rFonts w:hint="eastAsia" w:ascii="仿宋" w:hAnsi="仿宋" w:eastAsia="仿宋" w:cs="仿宋"/>
          <w:color w:val="000000"/>
          <w:kern w:val="0"/>
          <w:sz w:val="30"/>
          <w:szCs w:val="30"/>
        </w:rPr>
        <w:t>。</w:t>
      </w:r>
      <w:r>
        <w:rPr>
          <w:rFonts w:hint="eastAsia" w:ascii="仿宋" w:hAnsi="仿宋" w:eastAsia="仿宋" w:cs="仿宋"/>
          <w:sz w:val="30"/>
          <w:szCs w:val="30"/>
        </w:rPr>
        <w:t>区财政在部门预算中安排了执法办案设备更新维护经费，</w:t>
      </w:r>
      <w:r>
        <w:rPr>
          <w:rFonts w:hint="eastAsia" w:ascii="仿宋" w:hAnsi="仿宋" w:eastAsia="仿宋" w:cs="仿宋"/>
          <w:color w:val="000000"/>
          <w:sz w:val="30"/>
          <w:szCs w:val="30"/>
        </w:rPr>
        <w:t>为我局执法工作的开展提供了经费保障</w:t>
      </w:r>
      <w:r>
        <w:rPr>
          <w:rFonts w:hint="eastAsia" w:ascii="仿宋" w:hAnsi="仿宋" w:eastAsia="仿宋" w:cs="仿宋"/>
          <w:sz w:val="30"/>
          <w:szCs w:val="30"/>
        </w:rPr>
        <w:t>。</w:t>
      </w:r>
    </w:p>
    <w:p>
      <w:pPr>
        <w:spacing w:line="600" w:lineRule="exact"/>
        <w:ind w:firstLine="602" w:firstLineChars="200"/>
        <w:outlineLvl w:val="0"/>
        <w:rPr>
          <w:rFonts w:hint="eastAsia" w:ascii="仿宋" w:hAnsi="仿宋" w:eastAsia="仿宋" w:cs="仿宋"/>
          <w:b/>
          <w:bCs/>
          <w:sz w:val="30"/>
          <w:szCs w:val="30"/>
        </w:rPr>
      </w:pPr>
      <w:r>
        <w:rPr>
          <w:rFonts w:hint="eastAsia" w:ascii="仿宋" w:hAnsi="仿宋" w:eastAsia="仿宋" w:cs="仿宋"/>
          <w:b/>
          <w:bCs/>
          <w:sz w:val="30"/>
          <w:szCs w:val="30"/>
        </w:rPr>
        <w:t>2.主要内容及实施情况</w:t>
      </w:r>
    </w:p>
    <w:p>
      <w:pPr>
        <w:pStyle w:val="16"/>
        <w:tabs>
          <w:tab w:val="left" w:pos="1256"/>
        </w:tabs>
        <w:spacing w:line="360" w:lineRule="auto"/>
        <w:ind w:firstLine="641"/>
        <w:rPr>
          <w:rFonts w:hint="eastAsia" w:ascii="仿宋" w:hAnsi="仿宋" w:eastAsia="仿宋" w:cs="仿宋"/>
          <w:sz w:val="30"/>
          <w:szCs w:val="30"/>
          <w:lang w:eastAsia="zh-CN"/>
        </w:rPr>
      </w:pPr>
      <w:r>
        <w:rPr>
          <w:rFonts w:hint="eastAsia" w:ascii="仿宋" w:hAnsi="仿宋" w:eastAsia="仿宋" w:cs="仿宋"/>
          <w:sz w:val="30"/>
          <w:szCs w:val="30"/>
          <w:lang w:val="en-US" w:eastAsia="zh-CN"/>
        </w:rPr>
        <w:t>用于执法办案的设备购置及维护，确保执法办案工作顺利开展。同时，</w:t>
      </w:r>
      <w:r>
        <w:rPr>
          <w:rFonts w:hint="eastAsia" w:ascii="仿宋" w:hAnsi="仿宋" w:eastAsia="仿宋" w:cs="仿宋"/>
          <w:sz w:val="30"/>
          <w:szCs w:val="30"/>
          <w:lang w:eastAsia="zh-CN"/>
        </w:rPr>
        <w:t>随着智慧市场监管平台二期工程基本完成，相关功能模块即将上线运行，智慧市场监管平台终端服务费使用期限至</w:t>
      </w:r>
      <w:r>
        <w:rPr>
          <w:rFonts w:hint="eastAsia" w:ascii="仿宋" w:hAnsi="仿宋" w:eastAsia="仿宋" w:cs="仿宋"/>
          <w:sz w:val="30"/>
          <w:szCs w:val="30"/>
          <w:lang w:val="en-US" w:eastAsia="zh-CN"/>
        </w:rPr>
        <w:t>2021年12月31日。</w:t>
      </w:r>
      <w:r>
        <w:rPr>
          <w:rFonts w:hint="eastAsia" w:ascii="仿宋" w:hAnsi="仿宋" w:eastAsia="仿宋" w:cs="仿宋"/>
          <w:sz w:val="30"/>
          <w:szCs w:val="30"/>
          <w:lang w:eastAsia="zh-CN"/>
        </w:rPr>
        <w:t>为满足市场监管日常工作需要，拟统一采购两年智慧市场监管平台终端服务费。</w:t>
      </w:r>
    </w:p>
    <w:p>
      <w:pPr>
        <w:spacing w:line="600" w:lineRule="exact"/>
        <w:ind w:firstLine="602" w:firstLineChars="200"/>
        <w:outlineLvl w:val="0"/>
        <w:rPr>
          <w:rFonts w:hint="eastAsia" w:ascii="仿宋" w:hAnsi="仿宋" w:eastAsia="仿宋" w:cs="仿宋"/>
          <w:b/>
          <w:bCs/>
          <w:sz w:val="30"/>
          <w:szCs w:val="30"/>
        </w:rPr>
      </w:pPr>
      <w:r>
        <w:rPr>
          <w:rFonts w:hint="eastAsia" w:ascii="仿宋" w:hAnsi="仿宋" w:eastAsia="仿宋" w:cs="仿宋"/>
          <w:b/>
          <w:bCs/>
          <w:sz w:val="30"/>
          <w:szCs w:val="30"/>
        </w:rPr>
        <w:t>3.资金投入和使用情况</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2021年度执法办案设备更新维护经费的预算为29万元。财政实际下拨29万元，截止2021年12月31日，实际支出29万元，财政拨款结余0万元，财政资金使用率为100%。</w:t>
      </w:r>
    </w:p>
    <w:p>
      <w:pPr>
        <w:widowControl/>
        <w:spacing w:line="360" w:lineRule="auto"/>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（二）项目绩效目标</w:t>
      </w:r>
    </w:p>
    <w:p>
      <w:pPr>
        <w:spacing w:line="600" w:lineRule="exact"/>
        <w:ind w:firstLine="602" w:firstLineChars="200"/>
        <w:outlineLvl w:val="0"/>
        <w:rPr>
          <w:rFonts w:hint="eastAsia" w:ascii="仿宋" w:hAnsi="仿宋" w:eastAsia="仿宋" w:cs="仿宋"/>
          <w:b/>
          <w:bCs/>
          <w:sz w:val="30"/>
          <w:szCs w:val="30"/>
        </w:rPr>
      </w:pPr>
      <w:r>
        <w:rPr>
          <w:rFonts w:hint="eastAsia" w:ascii="仿宋" w:hAnsi="仿宋" w:eastAsia="仿宋" w:cs="仿宋"/>
          <w:b/>
          <w:bCs/>
          <w:sz w:val="30"/>
          <w:szCs w:val="30"/>
        </w:rPr>
        <w:t>1.总体目标</w:t>
      </w:r>
    </w:p>
    <w:p>
      <w:pPr>
        <w:spacing w:line="600" w:lineRule="exact"/>
        <w:ind w:firstLine="600" w:firstLineChars="200"/>
        <w:outlineLvl w:val="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着力打造“互联网+”智慧市场监管平台，探索构建网上网下一体化监管模式，监管执法精准化智能化网络化水平显著提升</w:t>
      </w:r>
    </w:p>
    <w:p>
      <w:pPr>
        <w:spacing w:line="600" w:lineRule="exact"/>
        <w:ind w:firstLine="602" w:firstLineChars="200"/>
        <w:outlineLvl w:val="0"/>
        <w:rPr>
          <w:rFonts w:hint="eastAsia" w:ascii="仿宋" w:hAnsi="仿宋" w:eastAsia="仿宋" w:cs="仿宋"/>
          <w:b/>
          <w:bCs/>
          <w:sz w:val="30"/>
          <w:szCs w:val="30"/>
        </w:rPr>
      </w:pPr>
      <w:r>
        <w:rPr>
          <w:rFonts w:hint="eastAsia" w:ascii="仿宋" w:hAnsi="仿宋" w:eastAsia="仿宋" w:cs="仿宋"/>
          <w:b/>
          <w:bCs/>
          <w:sz w:val="30"/>
          <w:szCs w:val="30"/>
        </w:rPr>
        <w:t>2.阶段性目标</w:t>
      </w:r>
    </w:p>
    <w:p>
      <w:pPr>
        <w:spacing w:line="600" w:lineRule="exact"/>
        <w:ind w:firstLine="600" w:firstLineChars="200"/>
        <w:outlineLvl w:val="0"/>
        <w:rPr>
          <w:rFonts w:hint="eastAsia" w:ascii="仿宋" w:hAnsi="仿宋" w:eastAsia="仿宋" w:cs="仿宋"/>
          <w:b/>
          <w:bCs/>
          <w:sz w:val="30"/>
          <w:szCs w:val="30"/>
        </w:rPr>
      </w:pPr>
      <w:r>
        <w:rPr>
          <w:rFonts w:hint="eastAsia" w:ascii="仿宋" w:hAnsi="仿宋" w:eastAsia="仿宋" w:cs="仿宋"/>
          <w:sz w:val="30"/>
          <w:szCs w:val="30"/>
        </w:rPr>
        <w:t>全面完成执法办案设备的购置及维护工作，确保执法办案顺利进展。</w:t>
      </w:r>
    </w:p>
    <w:p>
      <w:pPr>
        <w:spacing w:line="600" w:lineRule="exact"/>
        <w:ind w:firstLine="602" w:firstLineChars="200"/>
        <w:outlineLvl w:val="0"/>
        <w:rPr>
          <w:rFonts w:hint="eastAsia" w:ascii="仿宋" w:hAnsi="仿宋" w:eastAsia="仿宋" w:cs="仿宋"/>
          <w:b/>
          <w:bCs/>
          <w:sz w:val="30"/>
          <w:szCs w:val="30"/>
        </w:rPr>
      </w:pPr>
      <w:r>
        <w:rPr>
          <w:rFonts w:hint="eastAsia" w:ascii="仿宋" w:hAnsi="仿宋" w:eastAsia="仿宋" w:cs="仿宋"/>
          <w:b/>
          <w:bCs/>
          <w:sz w:val="30"/>
          <w:szCs w:val="30"/>
        </w:rPr>
        <w:t>二、绩效评价工作开展情况</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（一）绩效评价目的、对象和范围</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次绩效评价从项目执行过程中的投入、管理制度建设、资金使用规范性、项目资金的使用和产出效果等多个方面，全面评价项目绩效状况。目的是为今后项目实施方向及管理方式改进提供指导，逐步树立以结果为导向的预算观。针对项目执行过程中存在的问题及不足，提出针对性改进意见，以促进项目单位的项目管理水平，提升政策实施效果和财政资金使用效益，为预算资金安排和完善提供参考。评价范围是执法办案设备更新维护经费29万元。</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（二）绩效评价原则、评价指标体系、评价方法、评价标准</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1.绩效评价原则</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我局2021年执法办案设备更新维护经费支出绩效评价将严格遵守科学规范原则、公正公开原则、分级分类原则以及绩效管理相关原则。</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2.评价指标体系</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根据财政部《预算绩效评价共性指标体系框架》等文件精神，确定本次绩效评价指标的整体框架，结合项目目标以及项目实施要求、申报要求、专项资金发放效果等内容，确定本次绩效评价指标体系的个性指标，具体详见《项目绩效评分表》，指标数据来源于相关法规、政府文件、基础数据采集、问卷调查和访谈等。</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评价指标体系表共 100 分。分值≥90 分，评价结果为“优”; 80分≤分值&lt;90 分，评价结果为“良”；60 分≤分值&lt;80 分，评价结果为“中”；分值&lt;60 分，评价结果为“差”。</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（1）项目投入：占权重 10 分。用于考核资金落实情况。</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（2）项目产出：占权重 50 分，分为产出数量、产出质量、产出时效、产出成本四个方面。用于衡量实际工作成果。</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（3）项目效果：占权重 30 分，分为经济效益、社会效益、生态效益、可持续影响四个方面。用于展现项目实施效果。</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（4）项目满意度：占权重 10 分，主要是指资金项目的服务对象或公众满意度。</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3.评价方法</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绩效评价主要采用以下评价方法：</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（1）成本效益分析法。是指将一定时期内的支出与效益进行对比分析，以评价绩效目标实现程度。</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（2）比较分析法。指通过对绩效目标与实施效果、当期情况的比较，综合分析绩效目标实现程度。</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（3）公众评判法。是指通过公众问卷及抽样调查等对财政支出效果进行评判，评价绩效目标实现程度。</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4.评价标准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按照</w:t>
      </w:r>
      <w:r>
        <w:rPr>
          <w:rFonts w:hint="eastAsia" w:ascii="仿宋" w:hAnsi="仿宋" w:eastAsia="仿宋" w:cs="仿宋"/>
          <w:color w:val="000000"/>
          <w:sz w:val="30"/>
          <w:szCs w:val="30"/>
        </w:rPr>
        <w:t>《湾里管理局财政办关于开展2021年度预算绩效目标管理有关工作的通知》</w:t>
      </w:r>
      <w:r>
        <w:rPr>
          <w:rFonts w:hint="eastAsia" w:ascii="仿宋" w:hAnsi="仿宋" w:eastAsia="仿宋" w:cs="仿宋"/>
          <w:sz w:val="30"/>
          <w:szCs w:val="30"/>
        </w:rPr>
        <w:t>文件要求，参照财政部《预算绩效评价共性指标体系框架》制定了《项目支出绩效评价指标体系评分表》，经我局自评，2021年项目支出绩效评价得分。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（三）绩效评价工作过程</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3月1日，我局2021年执法办案设备更新维护经费的使用情况绩效评价召开了会议，成立了绩效评价工作小组3月15-4月10日绩效评价工作小组通过座谈听取情况、核查资金使用、采集相关数据、实地抽查项目、发放调查问卷等形式进行了现场评价，并根据有关资料进行汇总分析，形成评价结论。 </w:t>
      </w:r>
    </w:p>
    <w:p>
      <w:pPr>
        <w:spacing w:line="360" w:lineRule="auto"/>
        <w:ind w:firstLine="602" w:firstLineChars="200"/>
        <w:outlineLvl w:val="0"/>
        <w:rPr>
          <w:rFonts w:hint="eastAsia" w:ascii="仿宋" w:hAnsi="仿宋" w:eastAsia="仿宋" w:cs="仿宋"/>
          <w:b/>
          <w:bCs/>
          <w:sz w:val="30"/>
          <w:szCs w:val="30"/>
        </w:rPr>
      </w:pPr>
      <w:r>
        <w:rPr>
          <w:rFonts w:hint="eastAsia" w:ascii="仿宋" w:hAnsi="仿宋" w:eastAsia="仿宋" w:cs="仿宋"/>
          <w:b/>
          <w:bCs/>
          <w:sz w:val="30"/>
          <w:szCs w:val="30"/>
        </w:rPr>
        <w:t>三、综合评价情况及评价结论</w:t>
      </w:r>
    </w:p>
    <w:p>
      <w:pPr>
        <w:spacing w:line="360" w:lineRule="auto"/>
        <w:ind w:firstLine="600" w:firstLineChars="200"/>
        <w:rPr>
          <w:rFonts w:hint="eastAsia" w:ascii="仿宋" w:hAnsi="仿宋" w:eastAsia="仿宋"/>
          <w:sz w:val="32"/>
          <w:szCs w:val="32"/>
        </w:rPr>
      </w:pPr>
      <w:r>
        <w:rPr>
          <w:rFonts w:hint="eastAsia" w:ascii="仿宋" w:hAnsi="仿宋" w:eastAsia="仿宋" w:cs="仿宋"/>
          <w:sz w:val="30"/>
          <w:szCs w:val="30"/>
        </w:rPr>
        <w:t>根据自评绩效评分细则，我们严格按照经费管理原则管理和使用，严格执行预算管理、防止各种违反财经纪律的行为、保障重点、量入为出、收支平衡的原则，提高了资金使用效益。项目绩效自评得分为92.5分，经绩效评价小组复核，项目最终绩效评价得分为92.5分，评价等级为“优”。</w:t>
      </w:r>
    </w:p>
    <w:tbl>
      <w:tblPr>
        <w:tblStyle w:val="9"/>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96"/>
        <w:gridCol w:w="1695"/>
        <w:gridCol w:w="1785"/>
        <w:gridCol w:w="192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896" w:type="dxa"/>
            <w:shd w:val="clear" w:color="auto" w:fill="00B0F0"/>
            <w:noWrap w:val="0"/>
            <w:vAlign w:val="center"/>
          </w:tcPr>
          <w:p>
            <w:pPr>
              <w:widowControl/>
              <w:spacing w:line="360" w:lineRule="auto"/>
              <w:jc w:val="center"/>
              <w:textAlignment w:val="center"/>
              <w:rPr>
                <w:rFonts w:hint="eastAsia" w:cs="仿宋_GB2312"/>
                <w:b/>
                <w:bCs/>
                <w:color w:val="FFFFFF"/>
                <w:kern w:val="0"/>
                <w:sz w:val="28"/>
                <w:szCs w:val="28"/>
              </w:rPr>
            </w:pPr>
            <w:r>
              <w:rPr>
                <w:rFonts w:hint="eastAsia" w:cs="仿宋_GB2312"/>
                <w:b/>
                <w:bCs/>
                <w:color w:val="FFFFFF"/>
                <w:kern w:val="0"/>
                <w:sz w:val="28"/>
                <w:szCs w:val="28"/>
              </w:rPr>
              <w:t>项目决策</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（18分）</w:t>
            </w:r>
          </w:p>
        </w:tc>
        <w:tc>
          <w:tcPr>
            <w:tcW w:w="1695" w:type="dxa"/>
            <w:shd w:val="clear" w:color="auto" w:fill="00B0F0"/>
            <w:noWrap w:val="0"/>
            <w:vAlign w:val="center"/>
          </w:tcPr>
          <w:p>
            <w:pPr>
              <w:widowControl/>
              <w:spacing w:line="360" w:lineRule="auto"/>
              <w:jc w:val="center"/>
              <w:textAlignment w:val="center"/>
              <w:rPr>
                <w:rFonts w:hint="eastAsia" w:cs="仿宋_GB2312"/>
                <w:b/>
                <w:bCs/>
                <w:color w:val="FFFFFF"/>
                <w:kern w:val="0"/>
                <w:sz w:val="28"/>
                <w:szCs w:val="28"/>
              </w:rPr>
            </w:pPr>
            <w:r>
              <w:rPr>
                <w:rFonts w:hint="eastAsia" w:cs="仿宋_GB2312"/>
                <w:b/>
                <w:bCs/>
                <w:color w:val="FFFFFF"/>
                <w:kern w:val="0"/>
                <w:sz w:val="28"/>
                <w:szCs w:val="28"/>
              </w:rPr>
              <w:t>项目过程</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（22分）</w:t>
            </w:r>
          </w:p>
        </w:tc>
        <w:tc>
          <w:tcPr>
            <w:tcW w:w="1785" w:type="dxa"/>
            <w:shd w:val="clear" w:color="auto" w:fill="00B0F0"/>
            <w:noWrap w:val="0"/>
            <w:vAlign w:val="center"/>
          </w:tcPr>
          <w:p>
            <w:pPr>
              <w:widowControl/>
              <w:spacing w:line="360" w:lineRule="auto"/>
              <w:jc w:val="center"/>
              <w:textAlignment w:val="center"/>
              <w:rPr>
                <w:rFonts w:hint="eastAsia" w:cs="仿宋_GB2312"/>
                <w:b/>
                <w:bCs/>
                <w:color w:val="FFFFFF"/>
                <w:kern w:val="0"/>
                <w:sz w:val="28"/>
                <w:szCs w:val="28"/>
              </w:rPr>
            </w:pPr>
            <w:r>
              <w:rPr>
                <w:rFonts w:hint="eastAsia" w:cs="仿宋_GB2312"/>
                <w:b/>
                <w:bCs/>
                <w:color w:val="FFFFFF"/>
                <w:kern w:val="0"/>
                <w:sz w:val="28"/>
                <w:szCs w:val="28"/>
              </w:rPr>
              <w:t>项目产出</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（35分）</w:t>
            </w:r>
          </w:p>
        </w:tc>
        <w:tc>
          <w:tcPr>
            <w:tcW w:w="1920" w:type="dxa"/>
            <w:shd w:val="clear" w:color="auto" w:fill="00B0F0"/>
            <w:noWrap w:val="0"/>
            <w:vAlign w:val="center"/>
          </w:tcPr>
          <w:p>
            <w:pPr>
              <w:widowControl/>
              <w:spacing w:line="360" w:lineRule="auto"/>
              <w:jc w:val="center"/>
              <w:textAlignment w:val="center"/>
              <w:rPr>
                <w:rFonts w:hint="eastAsia" w:cs="仿宋_GB2312"/>
                <w:b/>
                <w:bCs/>
                <w:color w:val="FFFFFF"/>
                <w:kern w:val="0"/>
                <w:sz w:val="28"/>
                <w:szCs w:val="28"/>
              </w:rPr>
            </w:pPr>
            <w:r>
              <w:rPr>
                <w:rFonts w:hint="eastAsia" w:cs="仿宋_GB2312"/>
                <w:b/>
                <w:bCs/>
                <w:color w:val="FFFFFF"/>
                <w:kern w:val="0"/>
                <w:sz w:val="28"/>
                <w:szCs w:val="28"/>
              </w:rPr>
              <w:t>项目效果</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（15分）</w:t>
            </w:r>
          </w:p>
        </w:tc>
        <w:tc>
          <w:tcPr>
            <w:tcW w:w="1755" w:type="dxa"/>
            <w:shd w:val="clear" w:color="auto" w:fill="00B0F0"/>
            <w:noWrap w:val="0"/>
            <w:vAlign w:val="center"/>
          </w:tcPr>
          <w:p>
            <w:pPr>
              <w:widowControl/>
              <w:spacing w:line="360" w:lineRule="auto"/>
              <w:jc w:val="center"/>
              <w:textAlignment w:val="center"/>
              <w:rPr>
                <w:rFonts w:cs="仿宋_GB2312"/>
                <w:b/>
                <w:bCs/>
                <w:color w:val="FFFFFF"/>
                <w:kern w:val="0"/>
                <w:sz w:val="28"/>
                <w:szCs w:val="28"/>
              </w:rPr>
            </w:pPr>
            <w:r>
              <w:rPr>
                <w:rFonts w:hint="eastAsia" w:cs="仿宋_GB2312"/>
                <w:b/>
                <w:bCs/>
                <w:color w:val="FFFFFF"/>
                <w:kern w:val="0"/>
                <w:sz w:val="28"/>
                <w:szCs w:val="28"/>
              </w:rPr>
              <w:t>项目满意度</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896" w:type="dxa"/>
            <w:noWrap w:val="0"/>
            <w:vAlign w:val="center"/>
          </w:tcPr>
          <w:p>
            <w:pPr>
              <w:spacing w:line="360" w:lineRule="auto"/>
              <w:jc w:val="center"/>
              <w:rPr>
                <w:rFonts w:hint="eastAsia" w:eastAsia="仿宋" w:cs="仿宋"/>
                <w:color w:val="000000"/>
                <w:sz w:val="24"/>
                <w:szCs w:val="24"/>
              </w:rPr>
            </w:pPr>
            <w:r>
              <w:rPr>
                <w:rFonts w:hint="eastAsia" w:eastAsia="仿宋" w:cs="仿宋"/>
                <w:color w:val="000000"/>
                <w:sz w:val="24"/>
                <w:szCs w:val="24"/>
              </w:rPr>
              <w:t>14</w:t>
            </w:r>
          </w:p>
        </w:tc>
        <w:tc>
          <w:tcPr>
            <w:tcW w:w="1695" w:type="dxa"/>
            <w:noWrap w:val="0"/>
            <w:vAlign w:val="center"/>
          </w:tcPr>
          <w:p>
            <w:pPr>
              <w:spacing w:line="360" w:lineRule="auto"/>
              <w:jc w:val="center"/>
              <w:rPr>
                <w:rFonts w:eastAsia="仿宋" w:cs="仿宋"/>
                <w:color w:val="000000"/>
                <w:sz w:val="24"/>
                <w:szCs w:val="24"/>
              </w:rPr>
            </w:pPr>
            <w:r>
              <w:rPr>
                <w:rFonts w:hint="eastAsia" w:eastAsia="仿宋" w:cs="仿宋"/>
                <w:color w:val="000000"/>
                <w:sz w:val="24"/>
                <w:szCs w:val="24"/>
              </w:rPr>
              <w:t>22</w:t>
            </w:r>
          </w:p>
        </w:tc>
        <w:tc>
          <w:tcPr>
            <w:tcW w:w="1785" w:type="dxa"/>
            <w:noWrap w:val="0"/>
            <w:vAlign w:val="center"/>
          </w:tcPr>
          <w:p>
            <w:pPr>
              <w:spacing w:line="360" w:lineRule="auto"/>
              <w:jc w:val="center"/>
              <w:rPr>
                <w:rFonts w:eastAsia="仿宋" w:cs="仿宋"/>
                <w:color w:val="000000"/>
                <w:sz w:val="24"/>
                <w:szCs w:val="24"/>
              </w:rPr>
            </w:pPr>
            <w:r>
              <w:rPr>
                <w:rFonts w:hint="eastAsia" w:eastAsia="仿宋" w:cs="仿宋"/>
                <w:color w:val="000000"/>
                <w:sz w:val="24"/>
                <w:szCs w:val="24"/>
              </w:rPr>
              <w:t>35</w:t>
            </w:r>
          </w:p>
        </w:tc>
        <w:tc>
          <w:tcPr>
            <w:tcW w:w="1920" w:type="dxa"/>
            <w:noWrap w:val="0"/>
            <w:vAlign w:val="center"/>
          </w:tcPr>
          <w:p>
            <w:pPr>
              <w:spacing w:line="360" w:lineRule="auto"/>
              <w:jc w:val="center"/>
              <w:rPr>
                <w:rFonts w:eastAsia="仿宋" w:cs="仿宋"/>
                <w:color w:val="000000"/>
                <w:sz w:val="24"/>
                <w:szCs w:val="24"/>
              </w:rPr>
            </w:pPr>
            <w:r>
              <w:rPr>
                <w:rFonts w:hint="eastAsia" w:eastAsia="仿宋" w:cs="仿宋"/>
                <w:color w:val="000000"/>
                <w:sz w:val="24"/>
                <w:szCs w:val="24"/>
              </w:rPr>
              <w:t>13.5</w:t>
            </w:r>
          </w:p>
        </w:tc>
        <w:tc>
          <w:tcPr>
            <w:tcW w:w="1755" w:type="dxa"/>
            <w:noWrap w:val="0"/>
            <w:vAlign w:val="center"/>
          </w:tcPr>
          <w:p>
            <w:pPr>
              <w:spacing w:line="360" w:lineRule="auto"/>
              <w:jc w:val="center"/>
              <w:rPr>
                <w:rFonts w:eastAsia="仿宋" w:cs="仿宋"/>
                <w:color w:val="000000"/>
                <w:sz w:val="24"/>
                <w:szCs w:val="24"/>
              </w:rPr>
            </w:pPr>
            <w:r>
              <w:rPr>
                <w:rFonts w:hint="eastAsia" w:eastAsia="仿宋" w:cs="仿宋"/>
                <w:color w:val="000000"/>
                <w:sz w:val="24"/>
                <w:szCs w:val="24"/>
              </w:rPr>
              <w:t>8</w:t>
            </w:r>
          </w:p>
        </w:tc>
      </w:tr>
    </w:tbl>
    <w:p>
      <w:pPr>
        <w:spacing w:line="360" w:lineRule="auto"/>
        <w:ind w:firstLine="602" w:firstLineChars="200"/>
        <w:outlineLvl w:val="0"/>
        <w:rPr>
          <w:rFonts w:hint="eastAsia" w:ascii="仿宋" w:hAnsi="仿宋" w:eastAsia="仿宋" w:cs="仿宋"/>
          <w:b/>
          <w:bCs/>
          <w:sz w:val="30"/>
          <w:szCs w:val="30"/>
        </w:rPr>
      </w:pPr>
      <w:r>
        <w:rPr>
          <w:rFonts w:hint="eastAsia" w:ascii="仿宋" w:hAnsi="仿宋" w:eastAsia="仿宋" w:cs="仿宋"/>
          <w:b/>
          <w:bCs/>
          <w:sz w:val="30"/>
          <w:szCs w:val="30"/>
        </w:rPr>
        <w:t>四、绩效评价指标分析</w:t>
      </w:r>
    </w:p>
    <w:p>
      <w:pPr>
        <w:spacing w:line="360" w:lineRule="auto"/>
        <w:ind w:firstLine="602" w:firstLineChars="200"/>
        <w:outlineLvl w:val="0"/>
        <w:rPr>
          <w:rFonts w:hint="eastAsia" w:ascii="仿宋" w:hAnsi="仿宋" w:eastAsia="仿宋" w:cs="仿宋"/>
          <w:b/>
          <w:bCs/>
          <w:sz w:val="30"/>
          <w:szCs w:val="30"/>
        </w:rPr>
      </w:pPr>
      <w:r>
        <w:rPr>
          <w:rFonts w:hint="eastAsia" w:ascii="仿宋" w:hAnsi="仿宋" w:eastAsia="仿宋" w:cs="仿宋"/>
          <w:b/>
          <w:bCs/>
          <w:sz w:val="30"/>
          <w:szCs w:val="30"/>
        </w:rPr>
        <w:t>（一）项目决策情况</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（1）项目立项（6分）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根据《中共南昌市市场监督管理局党组会议纪要》[2021]43号要求,安排执法办案设备更新维护经费29万元。因此，项目立项有据可依，具有规范性。完成了目标值，依据评分标准，该项指标得6分。</w:t>
      </w:r>
    </w:p>
    <w:p>
      <w:pPr>
        <w:spacing w:line="360" w:lineRule="auto"/>
        <w:ind w:firstLine="600" w:firstLineChars="200"/>
        <w:outlineLvl w:val="0"/>
        <w:rPr>
          <w:rFonts w:hint="eastAsia" w:ascii="仿宋" w:hAnsi="仿宋" w:eastAsia="仿宋" w:cs="仿宋"/>
          <w:sz w:val="30"/>
          <w:szCs w:val="30"/>
        </w:rPr>
      </w:pPr>
      <w:r>
        <w:rPr>
          <w:rFonts w:hint="eastAsia" w:ascii="仿宋" w:hAnsi="仿宋" w:eastAsia="仿宋" w:cs="仿宋"/>
          <w:sz w:val="30"/>
          <w:szCs w:val="30"/>
        </w:rPr>
        <w:t>（2）绩效目标（6分）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项目目标设定充分依据项目实际需求，目标和指标的设计符合项目管理规范;指标采取定量与定性相结合，通过清晰、可衡量的指标值将绩效目标反映出来，考核指标设立不够合理，依据评分标准，该项指标得2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（3）资金投入（6分）</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需要和本年度计划工作内容，设定了绩效目标，且目标明确，与预算确定的项目投资额相匹配。完成了目标值，依据评分标准，该项指标得6分。</w:t>
      </w:r>
    </w:p>
    <w:p>
      <w:pPr>
        <w:spacing w:line="600" w:lineRule="exact"/>
        <w:ind w:firstLine="602" w:firstLineChars="200"/>
        <w:outlineLvl w:val="0"/>
        <w:rPr>
          <w:rFonts w:hint="eastAsia" w:ascii="仿宋" w:hAnsi="仿宋" w:eastAsia="仿宋" w:cs="仿宋"/>
          <w:b/>
          <w:bCs/>
          <w:sz w:val="30"/>
          <w:szCs w:val="30"/>
        </w:rPr>
      </w:pPr>
      <w:r>
        <w:rPr>
          <w:rFonts w:hint="eastAsia" w:ascii="仿宋" w:hAnsi="仿宋" w:eastAsia="仿宋" w:cs="仿宋"/>
          <w:b/>
          <w:bCs/>
          <w:sz w:val="30"/>
          <w:szCs w:val="30"/>
        </w:rPr>
        <w:t>（二）项目过程情况</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（1）预算资金执行情况（13分）</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 xml:space="preserve"> 2021年执法办案设备更新维护经费年初预算数29万元，全年预算数29万元，全年执行数29万元，预算资金执行率100%。依据评分标准，该项指标得13分。</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（2）资金使用管理（3分）</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我单位严格执行财务管理制度。同时积极争取财政资金的足额预算和及时下达;做好项目方案的起草制定和修改，对项目的政策依据进行严格把关;督促项目按进度实施;做到会计核算的规范性，做好项目的调整，做到专款专用，做好项目结余和结转;确保资金的支付依据符合规定;健全财务制度并认真执行;做到资金使用的及时性并按照方案完成项目。依据评分标准，该项指标得3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（3）组织实施（6分）</w:t>
      </w:r>
    </w:p>
    <w:p>
      <w:pPr>
        <w:pStyle w:val="4"/>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南昌市湾里市场监督管理局2021年项目为：执法办案设备更新维护经费。根据年度工作安排，进行项目申报和组织实施工作，加强对项目的实施前、实施中、实施后的管理工作。依据评分标准，该指标得6分。</w:t>
      </w:r>
    </w:p>
    <w:p>
      <w:pPr>
        <w:pStyle w:val="4"/>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（三）项目产出情况</w:t>
      </w:r>
    </w:p>
    <w:p>
      <w:pPr>
        <w:pStyle w:val="2"/>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（1）数量指标（10分）</w:t>
      </w:r>
    </w:p>
    <w:p>
      <w:pPr>
        <w:pStyle w:val="16"/>
        <w:tabs>
          <w:tab w:val="left" w:pos="1256"/>
        </w:tabs>
        <w:spacing w:line="360" w:lineRule="auto"/>
        <w:ind w:firstLine="641"/>
        <w:rPr>
          <w:rFonts w:hint="eastAsia" w:ascii="仿宋" w:hAnsi="仿宋" w:eastAsia="仿宋" w:cs="仿宋"/>
          <w:sz w:val="30"/>
          <w:szCs w:val="30"/>
          <w:lang w:eastAsia="zh-CN" w:bidi="ar-SA"/>
        </w:rPr>
      </w:pPr>
      <w:r>
        <w:rPr>
          <w:rFonts w:hint="eastAsia" w:ascii="仿宋" w:hAnsi="仿宋" w:eastAsia="仿宋" w:cs="仿宋"/>
          <w:sz w:val="30"/>
          <w:szCs w:val="30"/>
          <w:lang w:eastAsia="zh-CN"/>
        </w:rPr>
        <w:t>随着智慧市场监管平台二期工程基本完成，相关功能模块即将上线运行，智慧市场监管平台终端服务费使用期限至</w:t>
      </w:r>
      <w:r>
        <w:rPr>
          <w:rFonts w:hint="eastAsia" w:ascii="仿宋" w:hAnsi="仿宋" w:eastAsia="仿宋" w:cs="仿宋"/>
          <w:sz w:val="30"/>
          <w:szCs w:val="30"/>
          <w:lang w:val="en-US" w:eastAsia="zh-CN"/>
        </w:rPr>
        <w:t>2021年12月31日。</w:t>
      </w:r>
      <w:r>
        <w:rPr>
          <w:rFonts w:hint="eastAsia" w:ascii="仿宋" w:hAnsi="仿宋" w:eastAsia="仿宋" w:cs="仿宋"/>
          <w:sz w:val="30"/>
          <w:szCs w:val="30"/>
          <w:lang w:eastAsia="zh-CN"/>
        </w:rPr>
        <w:t>为满足市场监管日常工作需要，拟统一采购两年智慧市场监管平台终端服务费</w:t>
      </w:r>
      <w:r>
        <w:rPr>
          <w:rFonts w:hint="eastAsia" w:ascii="仿宋" w:hAnsi="仿宋" w:eastAsia="仿宋" w:cs="仿宋"/>
          <w:sz w:val="30"/>
          <w:szCs w:val="30"/>
          <w:lang w:val="en-US" w:eastAsia="zh-CN" w:bidi="ar-SA"/>
        </w:rPr>
        <w:t>。依据评分标准，该项指标得10分。</w:t>
      </w:r>
    </w:p>
    <w:p>
      <w:pPr>
        <w:pStyle w:val="2"/>
        <w:numPr>
          <w:ilvl w:val="0"/>
          <w:numId w:val="3"/>
        </w:numPr>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质量指标（10分）</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我单位严格按照采购标准对执法设备进行更新维护，确保设备正常运行，并对采购的设备进行调试验收，合格率100%。完成了目标值，依据评分标准，该项指标得10分。</w:t>
      </w:r>
    </w:p>
    <w:p>
      <w:pPr>
        <w:pStyle w:val="2"/>
        <w:numPr>
          <w:ilvl w:val="0"/>
          <w:numId w:val="3"/>
        </w:numPr>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时效指标（5分）</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截至2021年12月31日，我单位执法设备隐患排查整改及时率100%，完成了目标值，依据评分标准，该项指标得5分。</w:t>
      </w:r>
    </w:p>
    <w:p>
      <w:pPr>
        <w:pStyle w:val="2"/>
        <w:numPr>
          <w:ilvl w:val="0"/>
          <w:numId w:val="3"/>
        </w:numPr>
        <w:spacing w:line="360" w:lineRule="auto"/>
        <w:ind w:left="0" w:leftChars="0" w:firstLine="643"/>
        <w:rPr>
          <w:rFonts w:hint="eastAsia" w:ascii="仿宋" w:hAnsi="仿宋" w:eastAsia="仿宋" w:cs="仿宋"/>
          <w:b/>
          <w:bCs/>
          <w:sz w:val="30"/>
          <w:szCs w:val="30"/>
          <w:lang w:val="zh-TW"/>
        </w:rPr>
      </w:pPr>
      <w:r>
        <w:rPr>
          <w:rFonts w:hint="eastAsia" w:ascii="仿宋" w:hAnsi="仿宋" w:eastAsia="仿宋" w:cs="仿宋"/>
          <w:b/>
          <w:bCs/>
          <w:sz w:val="30"/>
          <w:szCs w:val="30"/>
        </w:rPr>
        <w:t>成本指标（10分）</w:t>
      </w:r>
    </w:p>
    <w:p>
      <w:pPr>
        <w:pStyle w:val="2"/>
        <w:spacing w:line="360" w:lineRule="auto"/>
        <w:ind w:left="0" w:leftChars="0" w:firstLine="640"/>
        <w:rPr>
          <w:rFonts w:hint="eastAsia" w:ascii="仿宋" w:hAnsi="仿宋" w:eastAsia="仿宋" w:cs="仿宋"/>
          <w:sz w:val="30"/>
          <w:szCs w:val="30"/>
        </w:rPr>
      </w:pPr>
      <w:r>
        <w:rPr>
          <w:rFonts w:hint="eastAsia" w:ascii="仿宋" w:hAnsi="仿宋" w:eastAsia="仿宋" w:cs="仿宋"/>
          <w:sz w:val="30"/>
          <w:szCs w:val="30"/>
        </w:rPr>
        <w:t>我局全年预算数29万元，全年执行数29万元，预算资金执行率100%。同时我单位不断加强资金项目执行和监管，该项目实际支出金额均控制在预算范围内，很好的完成了目标值。依据评分标准，该项指标得10分。</w:t>
      </w:r>
    </w:p>
    <w:p>
      <w:pPr>
        <w:pStyle w:val="2"/>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4.项目效果情况</w:t>
      </w:r>
    </w:p>
    <w:p>
      <w:pPr>
        <w:pStyle w:val="2"/>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（1）社会效益指标（10分）</w:t>
      </w:r>
    </w:p>
    <w:p>
      <w:pPr>
        <w:pStyle w:val="2"/>
        <w:spacing w:line="360" w:lineRule="auto"/>
        <w:ind w:left="0" w:leftChars="0" w:firstLine="632"/>
        <w:rPr>
          <w:rFonts w:hint="eastAsia" w:ascii="仿宋" w:hAnsi="仿宋" w:eastAsia="仿宋" w:cs="仿宋"/>
          <w:sz w:val="30"/>
          <w:szCs w:val="30"/>
          <w:lang w:val="zh-TW"/>
        </w:rPr>
      </w:pPr>
      <w:r>
        <w:rPr>
          <w:rFonts w:hint="eastAsia" w:ascii="仿宋" w:hAnsi="仿宋" w:eastAsia="仿宋" w:cs="仿宋"/>
          <w:spacing w:val="-2"/>
          <w:sz w:val="30"/>
          <w:szCs w:val="30"/>
        </w:rPr>
        <w:t>通过对执法办案设备更新维护，保障了执法人员工作正常运行，提高办事效率，确保全区不发生重大产品食品安全事故</w:t>
      </w:r>
      <w:r>
        <w:rPr>
          <w:rFonts w:hint="eastAsia" w:ascii="仿宋" w:hAnsi="仿宋" w:eastAsia="仿宋" w:cs="仿宋"/>
          <w:sz w:val="30"/>
          <w:szCs w:val="30"/>
        </w:rPr>
        <w:t>。依据评分标准，该项指标得10分。</w:t>
      </w:r>
    </w:p>
    <w:p>
      <w:pPr>
        <w:pStyle w:val="2"/>
        <w:numPr>
          <w:ilvl w:val="0"/>
          <w:numId w:val="5"/>
        </w:numPr>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可持续影响指标（5分）</w:t>
      </w:r>
    </w:p>
    <w:p>
      <w:pPr>
        <w:pStyle w:val="2"/>
        <w:spacing w:line="360" w:lineRule="auto"/>
        <w:ind w:left="0" w:leftChars="0" w:firstLine="632"/>
        <w:rPr>
          <w:rFonts w:hint="eastAsia" w:ascii="仿宋" w:hAnsi="仿宋" w:eastAsia="仿宋" w:cs="仿宋"/>
          <w:sz w:val="30"/>
          <w:szCs w:val="30"/>
        </w:rPr>
      </w:pPr>
      <w:r>
        <w:rPr>
          <w:rFonts w:hint="eastAsia" w:ascii="仿宋" w:hAnsi="仿宋" w:eastAsia="仿宋" w:cs="仿宋"/>
          <w:spacing w:val="-2"/>
          <w:sz w:val="30"/>
          <w:szCs w:val="30"/>
        </w:rPr>
        <w:t>通过项目的实施，更加程度增加了设备使用年限，确保了执法人员办案效率</w:t>
      </w:r>
      <w:r>
        <w:rPr>
          <w:rFonts w:hint="eastAsia" w:ascii="仿宋" w:hAnsi="仿宋" w:eastAsia="仿宋" w:cs="仿宋"/>
          <w:sz w:val="30"/>
          <w:szCs w:val="30"/>
        </w:rPr>
        <w:t>，依据评分标准，该项指标得3.5分。</w:t>
      </w:r>
    </w:p>
    <w:p>
      <w:pPr>
        <w:pStyle w:val="2"/>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5.项目满意度</w:t>
      </w:r>
    </w:p>
    <w:p>
      <w:pPr>
        <w:pStyle w:val="2"/>
        <w:spacing w:line="360" w:lineRule="auto"/>
        <w:ind w:left="0" w:leftChars="0" w:firstLine="643"/>
        <w:rPr>
          <w:rFonts w:hint="eastAsia" w:ascii="仿宋" w:hAnsi="仿宋" w:eastAsia="仿宋" w:cs="仿宋"/>
          <w:b/>
          <w:bCs/>
          <w:sz w:val="30"/>
          <w:szCs w:val="30"/>
        </w:rPr>
      </w:pPr>
      <w:r>
        <w:rPr>
          <w:rFonts w:hint="eastAsia" w:ascii="仿宋" w:hAnsi="仿宋" w:eastAsia="仿宋" w:cs="仿宋"/>
          <w:b/>
          <w:bCs/>
          <w:sz w:val="30"/>
          <w:szCs w:val="30"/>
        </w:rPr>
        <w:t>（1）服务对象满意度指标（10分）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通过问卷调查，社会公众满意度达到85%。依据评分标准，该项指标得8分。</w:t>
      </w:r>
    </w:p>
    <w:p>
      <w:pPr>
        <w:pStyle w:val="4"/>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五、主要经验及做法、存在的问题及原因分析</w:t>
      </w:r>
    </w:p>
    <w:p>
      <w:pPr>
        <w:pStyle w:val="17"/>
        <w:ind w:firstLine="640"/>
        <w:rPr>
          <w:rFonts w:hint="eastAsia" w:ascii="仿宋" w:hAnsi="仿宋" w:eastAsia="仿宋" w:cs="仿宋"/>
          <w:b/>
          <w:sz w:val="30"/>
          <w:szCs w:val="30"/>
        </w:rPr>
      </w:pPr>
      <w:r>
        <w:rPr>
          <w:rFonts w:hint="eastAsia" w:ascii="仿宋" w:hAnsi="仿宋" w:eastAsia="仿宋" w:cs="仿宋"/>
          <w:sz w:val="30"/>
          <w:szCs w:val="30"/>
        </w:rPr>
        <w:t>我局2021年绩效管理目标明晰，绩效指标细化、可衡量性强。加强日常监管工作，完成计划任务；注重加强技术指导，提高基层监管能力；加强隐患排查整治，切实堵塞监管漏洞；创新监管方法，破解工作难题；注重利用信息化手段，确保监管工作实效；建立信息公示制度，强化社会监督；但还存在一些需改进的问题，现有队伍结构、人员配备、检验能力、装备水平等与全面履行市场监管职能的要求相比有较大差距，需要进一步调整和优化。</w:t>
      </w:r>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六、有关建议</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我局将加大药品监管培训方面投入的力度，加强监管人员专业知识和法律法规的学习，努力提高履职尽责能力，提高监管水平。</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七、其他需要说明的问题</w:t>
      </w:r>
    </w:p>
    <w:p>
      <w:pPr>
        <w:pStyle w:val="2"/>
        <w:ind w:firstLine="640"/>
        <w:rPr>
          <w:rFonts w:hint="eastAsia" w:ascii="仿宋" w:hAnsi="仿宋" w:eastAsia="仿宋" w:cs="仿宋"/>
          <w:sz w:val="30"/>
          <w:szCs w:val="30"/>
        </w:rPr>
        <w:sectPr>
          <w:headerReference r:id="rId3" w:type="default"/>
          <w:footerReference r:id="rId4" w:type="default"/>
          <w:footerReference r:id="rId5" w:type="even"/>
          <w:pgSz w:w="11906" w:h="16838"/>
          <w:pgMar w:top="1418" w:right="1418" w:bottom="1418" w:left="1418" w:header="851" w:footer="992" w:gutter="0"/>
          <w:cols w:space="720" w:num="1"/>
          <w:docGrid w:type="lines" w:linePitch="312" w:charSpace="0"/>
        </w:sectPr>
      </w:pPr>
      <w:r>
        <w:rPr>
          <w:rFonts w:hint="eastAsia" w:ascii="仿宋" w:hAnsi="仿宋" w:eastAsia="仿宋" w:cs="仿宋"/>
          <w:sz w:val="30"/>
          <w:szCs w:val="30"/>
        </w:rPr>
        <w:t>无</w:t>
      </w:r>
    </w:p>
    <w:p>
      <w:pPr>
        <w:autoSpaceDE w:val="0"/>
        <w:autoSpaceDN w:val="0"/>
        <w:adjustRightInd w:val="0"/>
        <w:spacing w:line="360" w:lineRule="auto"/>
        <w:ind w:firstLine="600"/>
        <w:jc w:val="left"/>
        <w:rPr>
          <w:rFonts w:hint="eastAsia" w:ascii="仿宋" w:hAnsi="仿宋" w:eastAsia="仿宋" w:cs="仿宋_GB2312"/>
          <w:kern w:val="0"/>
          <w:sz w:val="30"/>
          <w:szCs w:val="30"/>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15"/>
        <w:spacing w:line="600" w:lineRule="atLeast"/>
        <w:ind w:firstLine="600"/>
        <w:rPr>
          <w:rFonts w:hint="eastAsia" w:ascii="仿宋" w:hAnsi="仿宋" w:eastAsia="仿宋"/>
          <w:sz w:val="30"/>
          <w:szCs w:val="30"/>
        </w:rPr>
      </w:pPr>
    </w:p>
    <w:p>
      <w:pPr>
        <w:pStyle w:val="8"/>
        <w:shd w:val="clear" w:color="auto" w:fill="FFFFFF"/>
        <w:spacing w:before="0" w:beforeAutospacing="0" w:after="0" w:afterAutospacing="0"/>
        <w:ind w:firstLine="480"/>
        <w:rPr>
          <w:rFonts w:hint="eastAsia" w:ascii="仿宋_GB2312" w:eastAsia="仿宋_GB2312"/>
          <w:color w:val="000000"/>
          <w:sz w:val="28"/>
          <w:szCs w:val="28"/>
        </w:rPr>
      </w:pPr>
      <w:r>
        <w:rPr>
          <w:rFonts w:hint="eastAsia" w:ascii="仿宋" w:hAnsi="仿宋" w:eastAsia="仿宋"/>
          <w:sz w:val="30"/>
          <w:szCs w:val="30"/>
        </w:rPr>
        <w:t xml:space="preserve">    </w:t>
      </w:r>
      <w:r>
        <w:rPr>
          <w:rFonts w:hint="eastAsia" w:ascii="仿宋_GB2312" w:eastAsia="仿宋_GB2312"/>
          <w:color w:val="000000"/>
          <w:sz w:val="28"/>
          <w:szCs w:val="28"/>
        </w:rPr>
        <w:t>1、财政拨款收入：指财政部门核拨给单位的财政预算资金。包括市局核拨给单位的财政预算资金、区财政核拨给单位的财政预算资金。</w:t>
      </w:r>
    </w:p>
    <w:p>
      <w:pPr>
        <w:pStyle w:val="8"/>
        <w:shd w:val="clear" w:color="auto" w:fill="FFFFFF"/>
        <w:spacing w:before="0" w:beforeAutospacing="0" w:after="0" w:afterAutospacing="0"/>
        <w:ind w:firstLine="480"/>
        <w:rPr>
          <w:rFonts w:hint="eastAsia" w:ascii="仿宋_GB2312" w:eastAsia="仿宋_GB2312"/>
          <w:color w:val="000000"/>
          <w:sz w:val="28"/>
          <w:szCs w:val="28"/>
        </w:rPr>
      </w:pPr>
      <w:r>
        <w:rPr>
          <w:rFonts w:hint="eastAsia" w:ascii="仿宋_GB2312" w:eastAsia="仿宋_GB2312"/>
          <w:color w:val="000000"/>
          <w:sz w:val="28"/>
          <w:szCs w:val="28"/>
        </w:rPr>
        <w:t>2、政府性基金收入：反映各级政府及其所属部门根据法律、行政法规规定并经国务院或财政部批准，向公民、法人及其他组织征收的政府性基金，以及参照政府性基金管理或纳入基金预算、具有特定用途的财政资金。</w:t>
      </w:r>
    </w:p>
    <w:p>
      <w:pPr>
        <w:pStyle w:val="8"/>
        <w:shd w:val="clear" w:color="auto" w:fill="FFFFFF"/>
        <w:spacing w:before="0" w:beforeAutospacing="0" w:after="0" w:afterAutospacing="0"/>
        <w:ind w:firstLine="480"/>
        <w:rPr>
          <w:rFonts w:hint="eastAsia" w:ascii="仿宋_GB2312" w:eastAsia="仿宋_GB2312"/>
          <w:color w:val="000000"/>
          <w:sz w:val="28"/>
          <w:szCs w:val="28"/>
        </w:rPr>
      </w:pPr>
      <w:r>
        <w:rPr>
          <w:rFonts w:hint="eastAsia" w:ascii="仿宋_GB2312" w:eastAsia="仿宋_GB2312"/>
          <w:color w:val="000000"/>
          <w:sz w:val="28"/>
          <w:szCs w:val="28"/>
        </w:rPr>
        <w:t>3、工资福利支出：反映单位开支的在职职工和编制外长期聘用人员的各类劳动报酬，以及为上述人员缴纳的各项社会保险费等。</w:t>
      </w:r>
    </w:p>
    <w:p>
      <w:pPr>
        <w:pStyle w:val="8"/>
        <w:shd w:val="clear" w:color="auto" w:fill="FFFFFF"/>
        <w:spacing w:before="0" w:beforeAutospacing="0" w:after="0" w:afterAutospacing="0"/>
        <w:ind w:firstLine="480"/>
        <w:rPr>
          <w:rFonts w:hint="eastAsia" w:ascii="仿宋_GB2312" w:eastAsia="仿宋_GB2312"/>
          <w:color w:val="000000"/>
          <w:sz w:val="28"/>
          <w:szCs w:val="28"/>
        </w:rPr>
      </w:pPr>
      <w:r>
        <w:rPr>
          <w:rFonts w:hint="eastAsia" w:ascii="仿宋_GB2312" w:eastAsia="仿宋_GB2312"/>
          <w:color w:val="000000"/>
          <w:sz w:val="28"/>
          <w:szCs w:val="28"/>
        </w:rPr>
        <w:t>4、商品和服务支出：反映单位购买商品和服务的支出，不包括用于购置固定资产、战略和应急性物资储备等资本性支出。</w:t>
      </w:r>
    </w:p>
    <w:p>
      <w:pPr>
        <w:pStyle w:val="8"/>
        <w:shd w:val="clear" w:color="auto" w:fill="FFFFFF"/>
        <w:spacing w:before="0" w:beforeAutospacing="0" w:after="0" w:afterAutospacing="0"/>
        <w:ind w:firstLine="480"/>
        <w:rPr>
          <w:rFonts w:hint="eastAsia" w:ascii="仿宋_GB2312" w:eastAsia="仿宋_GB2312"/>
          <w:color w:val="000000"/>
          <w:sz w:val="28"/>
          <w:szCs w:val="28"/>
        </w:rPr>
      </w:pPr>
      <w:r>
        <w:rPr>
          <w:rFonts w:hint="eastAsia" w:ascii="仿宋_GB2312" w:eastAsia="仿宋_GB2312"/>
          <w:color w:val="000000"/>
          <w:sz w:val="28"/>
          <w:szCs w:val="28"/>
        </w:rPr>
        <w:t>5、三公经费：反映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规定开支的各类公务接待（含外宾接待）支出。</w:t>
      </w:r>
    </w:p>
    <w:p>
      <w:pPr>
        <w:pStyle w:val="8"/>
        <w:shd w:val="clear" w:color="auto" w:fill="FFFFFF"/>
        <w:spacing w:before="0" w:beforeAutospacing="0" w:after="0" w:afterAutospacing="0"/>
        <w:ind w:firstLine="480"/>
        <w:rPr>
          <w:rFonts w:hint="eastAsia" w:ascii="仿宋_GB2312" w:eastAsia="仿宋_GB2312"/>
          <w:color w:val="000000"/>
          <w:sz w:val="28"/>
          <w:szCs w:val="28"/>
        </w:rPr>
      </w:pPr>
      <w:r>
        <w:rPr>
          <w:rFonts w:hint="eastAsia" w:ascii="仿宋_GB2312" w:eastAsia="仿宋_GB2312"/>
          <w:color w:val="000000"/>
          <w:sz w:val="28"/>
          <w:szCs w:val="28"/>
        </w:rPr>
        <w:t>6、机关运行经费：反映为保障行政单位（包括实行公务员管理的事业单位）运行用于购买货物和服务的各项资金，包括办公及印刷、邮电费、差旅费、会议费、福利费、日常维修费、专用材料及一般设备购置费、办公用房水电费、办公用房取暖费、办公用房物业管理费及其他费用。</w:t>
      </w:r>
    </w:p>
    <w:p>
      <w:pPr>
        <w:rPr>
          <w:rFonts w:hint="eastAsia"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pgNumType w:start="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roid Sans Ethiopic">
    <w:panose1 w:val="020B0606030804020204"/>
    <w:charset w:val="00"/>
    <w:family w:val="auto"/>
    <w:pitch w:val="default"/>
    <w:sig w:usb0="00000003" w:usb1="00000000" w:usb2="00000800" w:usb3="00000000" w:csb0="00000001" w:csb1="00000000"/>
  </w:font>
  <w:font w:name="DejaVu Math TeX Gyre">
    <w:panose1 w:val="02000503000000000000"/>
    <w:charset w:val="00"/>
    <w:family w:val="auto"/>
    <w:pitch w:val="default"/>
    <w:sig w:usb0="A10000EF" w:usb1="4201F9EE" w:usb2="02000000" w:usb3="00000000" w:csb0="60000193" w:csb1="0DD4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1"/>
        <w:szCs w:val="21"/>
      </w:rPr>
    </w:pPr>
    <w:r>
      <w:rPr>
        <w:rFonts w:ascii="宋体" w:hAnsi="宋体"/>
        <w:sz w:val="21"/>
        <w:szCs w:val="21"/>
      </w:rPr>
      <w:t>—</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5</w:t>
    </w:r>
    <w:r>
      <w:rPr>
        <w:rFonts w:ascii="宋体" w:hAnsi="宋体"/>
        <w:sz w:val="21"/>
        <w:szCs w:val="21"/>
      </w:rPr>
      <w:fldChar w:fldCharType="end"/>
    </w:r>
    <w:r>
      <w:rPr>
        <w:rFonts w:ascii="宋体" w:hAnsi="宋体"/>
        <w:sz w:val="21"/>
        <w:szCs w:val="21"/>
      </w:rPr>
      <w:t>—</w:t>
    </w:r>
  </w:p>
  <w:p>
    <w:pPr>
      <w:pStyle w:val="6"/>
      <w:rPr>
        <w:rFonts w:hint="eastAsia" w:ascii="宋体" w:hAnsi="宋体"/>
        <w:sz w:val="21"/>
        <w:szCs w:val="21"/>
      </w:rPr>
    </w:pPr>
  </w:p>
  <w:p>
    <w:pPr>
      <w:pStyle w:val="6"/>
      <w:rPr>
        <w:rFonts w:ascii="宋体" w:hAnsi="宋体"/>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1"/>
        <w:szCs w:val="21"/>
      </w:rPr>
    </w:pPr>
    <w:r>
      <w:rPr>
        <w:rFonts w:ascii="宋体" w:hAnsi="宋体"/>
        <w:sz w:val="21"/>
        <w:szCs w:val="21"/>
      </w:rPr>
      <w:t>—</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ascii="宋体" w:hAnsi="宋体"/>
        <w:sz w:val="21"/>
        <w:szCs w:val="21"/>
      </w:rPr>
      <w:t>—</w:t>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1AB64"/>
    <w:multiLevelType w:val="singleLevel"/>
    <w:tmpl w:val="CEF1AB64"/>
    <w:lvl w:ilvl="0" w:tentative="0">
      <w:start w:val="8"/>
      <w:numFmt w:val="chineseCounting"/>
      <w:suff w:val="nothing"/>
      <w:lvlText w:val="%1、"/>
      <w:lvlJc w:val="left"/>
      <w:pPr>
        <w:ind w:left="1280" w:firstLine="0"/>
      </w:pPr>
      <w:rPr>
        <w:rFonts w:hint="eastAsia"/>
      </w:rPr>
    </w:lvl>
  </w:abstractNum>
  <w:abstractNum w:abstractNumId="1">
    <w:nsid w:val="D9922181"/>
    <w:multiLevelType w:val="singleLevel"/>
    <w:tmpl w:val="D9922181"/>
    <w:lvl w:ilvl="0" w:tentative="0">
      <w:start w:val="2"/>
      <w:numFmt w:val="decimal"/>
      <w:suff w:val="nothing"/>
      <w:lvlText w:val="（%1）"/>
      <w:lvlJc w:val="left"/>
    </w:lvl>
  </w:abstractNum>
  <w:abstractNum w:abstractNumId="2">
    <w:nsid w:val="0DCB54D1"/>
    <w:multiLevelType w:val="singleLevel"/>
    <w:tmpl w:val="0DCB54D1"/>
    <w:lvl w:ilvl="0" w:tentative="0">
      <w:start w:val="2"/>
      <w:numFmt w:val="decimal"/>
      <w:suff w:val="nothing"/>
      <w:lvlText w:val="（%1）"/>
      <w:lvlJc w:val="left"/>
    </w:lvl>
  </w:abstractNum>
  <w:abstractNum w:abstractNumId="3">
    <w:nsid w:val="32A53756"/>
    <w:multiLevelType w:val="singleLevel"/>
    <w:tmpl w:val="32A53756"/>
    <w:lvl w:ilvl="0" w:tentative="0">
      <w:start w:val="8"/>
      <w:numFmt w:val="decimal"/>
      <w:suff w:val="nothing"/>
      <w:lvlText w:val="（%1）"/>
      <w:lvlJc w:val="left"/>
    </w:lvl>
  </w:abstractNum>
  <w:abstractNum w:abstractNumId="4">
    <w:nsid w:val="5D8EB5C2"/>
    <w:multiLevelType w:val="singleLevel"/>
    <w:tmpl w:val="5D8EB5C2"/>
    <w:lvl w:ilvl="0" w:tentative="0">
      <w:start w:val="7"/>
      <w:numFmt w:val="chineseCounting"/>
      <w:suff w:val="nothing"/>
      <w:lvlText w:val="%1、"/>
      <w:lvlJc w:val="left"/>
      <w:rPr>
        <w:rFonts w:hint="eastAsi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2NjRiNDkwODkxZWU2MWVkY2VlYzM0YWIyNjgyM2UifQ=="/>
  </w:docVars>
  <w:rsids>
    <w:rsidRoot w:val="00172A27"/>
    <w:rsid w:val="000436E0"/>
    <w:rsid w:val="000A5255"/>
    <w:rsid w:val="000E3FC3"/>
    <w:rsid w:val="002A65B5"/>
    <w:rsid w:val="002E71D3"/>
    <w:rsid w:val="003A07E5"/>
    <w:rsid w:val="005668AF"/>
    <w:rsid w:val="00587F82"/>
    <w:rsid w:val="005916EF"/>
    <w:rsid w:val="007265BC"/>
    <w:rsid w:val="007C2CEF"/>
    <w:rsid w:val="007C550B"/>
    <w:rsid w:val="007D5CCA"/>
    <w:rsid w:val="0080700B"/>
    <w:rsid w:val="00865CDB"/>
    <w:rsid w:val="0089438C"/>
    <w:rsid w:val="00903CA6"/>
    <w:rsid w:val="009514C0"/>
    <w:rsid w:val="009B0264"/>
    <w:rsid w:val="009F5624"/>
    <w:rsid w:val="00B51056"/>
    <w:rsid w:val="00BC5939"/>
    <w:rsid w:val="00C209F4"/>
    <w:rsid w:val="00CD7C2E"/>
    <w:rsid w:val="00CF4374"/>
    <w:rsid w:val="00D903C2"/>
    <w:rsid w:val="00EC583C"/>
    <w:rsid w:val="00EE5E34"/>
    <w:rsid w:val="00F30C59"/>
    <w:rsid w:val="04365FF1"/>
    <w:rsid w:val="076D374E"/>
    <w:rsid w:val="0A7229F9"/>
    <w:rsid w:val="16FC47B8"/>
    <w:rsid w:val="17636C08"/>
    <w:rsid w:val="18CE569A"/>
    <w:rsid w:val="19045512"/>
    <w:rsid w:val="195A6CF6"/>
    <w:rsid w:val="1B562253"/>
    <w:rsid w:val="1B6034CD"/>
    <w:rsid w:val="1C9F6334"/>
    <w:rsid w:val="21D166A9"/>
    <w:rsid w:val="220A266F"/>
    <w:rsid w:val="22240D95"/>
    <w:rsid w:val="240F3AE5"/>
    <w:rsid w:val="24201257"/>
    <w:rsid w:val="27C0392C"/>
    <w:rsid w:val="2AA67DBF"/>
    <w:rsid w:val="2D9519C3"/>
    <w:rsid w:val="2EC25E76"/>
    <w:rsid w:val="2FB35E69"/>
    <w:rsid w:val="34614B99"/>
    <w:rsid w:val="360E5075"/>
    <w:rsid w:val="36716B17"/>
    <w:rsid w:val="3B1F2605"/>
    <w:rsid w:val="3D0F50C1"/>
    <w:rsid w:val="47D32ABC"/>
    <w:rsid w:val="487B402B"/>
    <w:rsid w:val="49785A5A"/>
    <w:rsid w:val="4B895879"/>
    <w:rsid w:val="4EED34E2"/>
    <w:rsid w:val="508634C3"/>
    <w:rsid w:val="53C44127"/>
    <w:rsid w:val="549D01C5"/>
    <w:rsid w:val="55AF4A6F"/>
    <w:rsid w:val="565C155D"/>
    <w:rsid w:val="568D446F"/>
    <w:rsid w:val="57C35C95"/>
    <w:rsid w:val="589B7671"/>
    <w:rsid w:val="5E557DF7"/>
    <w:rsid w:val="5FBB3D23"/>
    <w:rsid w:val="625A211F"/>
    <w:rsid w:val="625E609B"/>
    <w:rsid w:val="66433CD6"/>
    <w:rsid w:val="664B78FD"/>
    <w:rsid w:val="67874F61"/>
    <w:rsid w:val="6B9E791B"/>
    <w:rsid w:val="6E2E4332"/>
    <w:rsid w:val="738B18DE"/>
    <w:rsid w:val="73D43285"/>
    <w:rsid w:val="74035A68"/>
    <w:rsid w:val="784E0692"/>
    <w:rsid w:val="785D16AF"/>
    <w:rsid w:val="7DD41E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99"/>
    <w:pPr>
      <w:widowControl w:val="0"/>
      <w:ind w:left="420" w:leftChars="200" w:firstLine="420" w:firstLineChars="200"/>
      <w:jc w:val="both"/>
    </w:pPr>
    <w:rPr>
      <w:rFonts w:ascii="Times New Roman" w:hAnsi="Times New Roman" w:eastAsia="仿宋_GB2312" w:cs="Times New Roman"/>
      <w:kern w:val="2"/>
      <w:sz w:val="30"/>
      <w:szCs w:val="30"/>
      <w:lang w:val="en-US" w:eastAsia="zh-CN" w:bidi="ar-SA"/>
    </w:rPr>
  </w:style>
  <w:style w:type="paragraph" w:styleId="4">
    <w:name w:val="Plain Text"/>
    <w:basedOn w:val="1"/>
    <w:unhideWhenUsed/>
    <w:qFormat/>
    <w:uiPriority w:val="0"/>
    <w:rPr>
      <w:rFonts w:ascii="宋体" w:hAnsi="Courier New" w:cs="Courier New"/>
      <w:szCs w:val="21"/>
    </w:rPr>
  </w:style>
  <w:style w:type="paragraph" w:styleId="5">
    <w:name w:val="Balloon Text"/>
    <w:basedOn w:val="1"/>
    <w:link w:val="12"/>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character" w:customStyle="1" w:styleId="12">
    <w:name w:val="批注框文本 Char"/>
    <w:basedOn w:val="10"/>
    <w:link w:val="5"/>
    <w:qFormat/>
    <w:uiPriority w:val="0"/>
    <w:rPr>
      <w:sz w:val="18"/>
      <w:szCs w:val="18"/>
    </w:rPr>
  </w:style>
  <w:style w:type="character" w:customStyle="1" w:styleId="13">
    <w:name w:val="页脚 Char"/>
    <w:basedOn w:val="10"/>
    <w:link w:val="6"/>
    <w:qFormat/>
    <w:uiPriority w:val="99"/>
    <w:rPr>
      <w:sz w:val="18"/>
      <w:szCs w:val="18"/>
    </w:rPr>
  </w:style>
  <w:style w:type="character" w:customStyle="1" w:styleId="14">
    <w:name w:val="页眉 Char"/>
    <w:basedOn w:val="10"/>
    <w:link w:val="7"/>
    <w:qFormat/>
    <w:uiPriority w:val="99"/>
    <w:rPr>
      <w:sz w:val="18"/>
      <w:szCs w:val="18"/>
    </w:rPr>
  </w:style>
  <w:style w:type="paragraph" w:customStyle="1" w:styleId="15">
    <w:name w:val="p0"/>
    <w:basedOn w:val="1"/>
    <w:qFormat/>
    <w:uiPriority w:val="0"/>
    <w:pPr>
      <w:widowControl/>
    </w:pPr>
    <w:rPr>
      <w:kern w:val="0"/>
      <w:szCs w:val="21"/>
    </w:rPr>
  </w:style>
  <w:style w:type="paragraph" w:customStyle="1" w:styleId="16">
    <w:name w:val="Body text|1"/>
    <w:basedOn w:val="1"/>
    <w:qFormat/>
    <w:uiPriority w:val="0"/>
    <w:pPr>
      <w:spacing w:line="444" w:lineRule="auto"/>
      <w:ind w:firstLine="400"/>
      <w:jc w:val="left"/>
    </w:pPr>
    <w:rPr>
      <w:rFonts w:ascii="宋体" w:hAnsi="宋体" w:eastAsia="宋体" w:cs="宋体"/>
      <w:sz w:val="28"/>
      <w:szCs w:val="28"/>
      <w:lang w:val="zh-TW" w:eastAsia="zh-TW" w:bidi="zh-TW"/>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58</Pages>
  <Words>23629</Words>
  <Characters>24963</Characters>
  <Lines>72</Lines>
  <Paragraphs>20</Paragraphs>
  <TotalTime>2</TotalTime>
  <ScaleCrop>false</ScaleCrop>
  <LinksUpToDate>false</LinksUpToDate>
  <CharactersWithSpaces>25377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2019-05-31T08:41:00Z</dcterms:created>
  <dc:creator>李嘉玉</dc:creator>
  <cp:lastModifiedBy>kylin</cp:lastModifiedBy>
  <cp:lastPrinted>2022-09-09T19:00:00Z</cp:lastPrinted>
  <dcterms:modified xsi:type="dcterms:W3CDTF">2024-03-08T09:26:08Z</dcterms:modified>
  <dc:title>李嘉玉</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11487EA39D91490798A40917CE5F3C81</vt:lpwstr>
  </property>
</Properties>
</file>