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生态环境监督执法正面清单企业名单（第六批）</w:t>
      </w:r>
    </w:p>
    <w:tbl>
      <w:tblPr>
        <w:tblStyle w:val="4"/>
        <w:tblW w:w="14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136"/>
        <w:gridCol w:w="1500"/>
        <w:gridCol w:w="1380"/>
        <w:gridCol w:w="1425"/>
        <w:gridCol w:w="1080"/>
        <w:gridCol w:w="1470"/>
        <w:gridCol w:w="2685"/>
        <w:gridCol w:w="1305"/>
        <w:gridCol w:w="10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8"/>
                <w:szCs w:val="28"/>
                <w:lang w:val="en-US" w:eastAsia="zh-CN"/>
              </w:rPr>
              <w:t>县（市、区）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  <w:t>企业详细地址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8"/>
                <w:szCs w:val="28"/>
                <w:lang w:val="en-US" w:eastAsia="zh-CN"/>
              </w:rPr>
              <w:t>纳入类别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  <w:t>所属行业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szCs w:val="24"/>
                <w:lang w:val="en-US" w:eastAsia="zh-CN"/>
              </w:rPr>
              <w:t>分类监管类别（A/B/C）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  <w:t>排污许可证编码</w:t>
            </w:r>
          </w:p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  <w:t>（排污登记编号）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szCs w:val="24"/>
                <w:lang w:val="en-US" w:eastAsia="zh-CN"/>
              </w:rPr>
              <w:t>纳入正面清单时间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szCs w:val="24"/>
                <w:lang w:val="en-US" w:eastAsia="zh-CN"/>
              </w:rPr>
              <w:t>有效期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szCs w:val="24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湾里管理局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江中药业股份有限公司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南昌市高新区火炬大街788号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疫情防控期间的医疗卫生、物质生产行业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中成药生产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A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91360000158307408H001U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2021.9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湾里管理局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南昌市湾里区石油公司加油站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江西省南昌市湾里招贤大道5号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民生保障重点行业企业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加油站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B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913601001583956630005Q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2022.9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湾里管理局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南昌公交石油有限责任公司湾里加油站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南昌湾里招贤镇蔬菜路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民生保障重点行业企业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加油站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C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913601001583956630005Q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2022.9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766A0"/>
    <w:rsid w:val="7B76ED0F"/>
    <w:rsid w:val="F47DCDAF"/>
    <w:rsid w:val="F5F766A0"/>
    <w:rsid w:val="F6B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2023-04-26T23:53:00Z</dcterms:created>
  <dc:creator>kylin</dc:creator>
  <cp:lastModifiedBy>kylin</cp:lastModifiedBy>
  <dcterms:modified xsi:type="dcterms:W3CDTF">2023-04-26T16:26:05Z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