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6"/>
        <w:gridCol w:w="2820"/>
        <w:gridCol w:w="2523"/>
        <w:gridCol w:w="2820"/>
        <w:gridCol w:w="95"/>
        <w:gridCol w:w="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6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5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27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5886" w:hanging="5886" w:hangingChars="21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5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117"/>
        <w:gridCol w:w="762"/>
      </w:tblGrid>
      <w:tr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"/>
              <w:gridCol w:w="2125"/>
              <w:gridCol w:w="762"/>
              <w:gridCol w:w="1779"/>
              <w:gridCol w:w="1119"/>
              <w:gridCol w:w="716"/>
              <w:gridCol w:w="1005"/>
              <w:gridCol w:w="105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招贤居委会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3601050020032304040001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符七妹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爱民居委会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3601050020052304260002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魏蓉华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0524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31699.92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牌楼居委会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3601050020012305050001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孙然荣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0838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残疾人（二级及以上）家庭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31424.76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ZhMzQ0NzI5MWRiYjFmOTZkYjNiZmNkMzgwYWNhYjAifQ=="/>
  </w:docVars>
  <w:rsids>
    <w:rsidRoot w:val="00000000"/>
    <w:rsid w:val="14190189"/>
    <w:rsid w:val="46FD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qFormat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267</Words>
  <Characters>423</Characters>
  <TotalTime>5</TotalTime>
  <ScaleCrop>false</ScaleCrop>
  <LinksUpToDate>false</LinksUpToDate>
  <CharactersWithSpaces>501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2023-05-24T01:19:00Z</dcterms:created>
  <dc:creator>Administrator</dc:creator>
  <cp:lastModifiedBy>Administrator</cp:lastModifiedBy>
  <dcterms:modified xsi:type="dcterms:W3CDTF">2023-05-24T01:29:49Z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C5A70FFB1CE74DC1BD29FFDCDEA4DE9E_12</vt:lpwstr>
  </property>
</Properties>
</file>