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ECB0E">
      <w:pPr>
        <w:pStyle w:val="4"/>
      </w:pPr>
    </w:p>
    <w:p w14:paraId="7AB9E773">
      <w:pPr>
        <w:keepNext w:val="0"/>
        <w:keepLines w:val="0"/>
        <w:pageBreakBefore w:val="0"/>
        <w:wordWrap/>
        <w:overflowPunct/>
        <w:topLinePunct w:val="0"/>
        <w:bidi w:val="0"/>
        <w:spacing w:before="166" w:line="560" w:lineRule="exact"/>
        <w:ind w:left="250"/>
        <w:jc w:val="center"/>
        <w:outlineLvl w:val="1"/>
        <w:rPr>
          <w:rFonts w:hint="eastAsia" w:ascii="方正小标宋简体" w:hAnsi="方正小标宋简体" w:eastAsia="方正小标宋简体" w:cs="方正小标宋简体"/>
          <w:spacing w:val="-7"/>
          <w:sz w:val="44"/>
          <w:szCs w:val="44"/>
          <w:lang w:val="en-US" w:eastAsia="zh-CN"/>
        </w:rPr>
      </w:pPr>
      <w:r>
        <w:rPr>
          <w:rFonts w:hint="eastAsia" w:ascii="方正小标宋简体" w:hAnsi="方正小标宋简体" w:eastAsia="方正小标宋简体" w:cs="方正小标宋简体"/>
          <w:spacing w:val="-7"/>
          <w:sz w:val="44"/>
          <w:szCs w:val="44"/>
          <w:lang w:val="en-US" w:eastAsia="zh-CN"/>
        </w:rPr>
        <w:t>幸福街道2025年法治政府建设年度报告</w:t>
      </w:r>
    </w:p>
    <w:p w14:paraId="19B19CA3">
      <w:pPr>
        <w:keepNext w:val="0"/>
        <w:keepLines w:val="0"/>
        <w:pageBreakBefore w:val="0"/>
        <w:wordWrap/>
        <w:overflowPunct/>
        <w:topLinePunct w:val="0"/>
        <w:bidi w:val="0"/>
        <w:spacing w:before="166" w:line="560" w:lineRule="exact"/>
        <w:ind w:left="250"/>
        <w:jc w:val="center"/>
        <w:outlineLvl w:val="1"/>
        <w:rPr>
          <w:rFonts w:hint="eastAsia" w:ascii="方正小标宋简体" w:hAnsi="方正小标宋简体" w:eastAsia="方正小标宋简体" w:cs="方正小标宋简体"/>
          <w:spacing w:val="-7"/>
          <w:sz w:val="44"/>
          <w:szCs w:val="44"/>
          <w:lang w:val="en-US" w:eastAsia="zh-CN"/>
        </w:rPr>
      </w:pPr>
    </w:p>
    <w:p w14:paraId="348F9D9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2025年，幸福街道在</w:t>
      </w:r>
      <w:r>
        <w:rPr>
          <w:rFonts w:hint="eastAsia" w:ascii="仿宋_GB2312" w:hAnsi="仿宋_GB2312" w:eastAsia="仿宋_GB2312" w:cs="仿宋_GB2312"/>
          <w:sz w:val="32"/>
          <w:szCs w:val="32"/>
          <w:lang w:val="en-US" w:eastAsia="zh-CN"/>
        </w:rPr>
        <w:t>湾里管理局</w:t>
      </w:r>
      <w:r>
        <w:rPr>
          <w:rFonts w:hint="eastAsia" w:ascii="仿宋_GB2312" w:hAnsi="仿宋_GB2312" w:eastAsia="仿宋_GB2312" w:cs="仿宋_GB2312"/>
          <w:sz w:val="32"/>
          <w:szCs w:val="32"/>
        </w:rPr>
        <w:t>的坚强领导下，深入学习贯彻习近平法治思想，紧紧围绕街道中心工作，以提升依法行政能力为核心，以规范行政行为为重点，以增强群众法治获得感为目标，扎实推进法治政府建设各项工作，为街道经济社会高质量发展提供了坚实法治保障。现将本年度法治政府建设工作情况报告如下。</w:t>
      </w:r>
    </w:p>
    <w:p w14:paraId="3E706461">
      <w:pPr>
        <w:keepNext w:val="0"/>
        <w:keepLines w:val="0"/>
        <w:pageBreakBefore w:val="0"/>
        <w:widowControl/>
        <w:kinsoku w:val="0"/>
        <w:wordWrap/>
        <w:overflowPunct/>
        <w:topLinePunct w:val="0"/>
        <w:autoSpaceDE w:val="0"/>
        <w:autoSpaceDN w:val="0"/>
        <w:bidi w:val="0"/>
        <w:adjustRightInd w:val="0"/>
        <w:snapToGrid/>
        <w:spacing w:line="560" w:lineRule="exact"/>
        <w:ind w:firstLine="643" w:firstLineChars="200"/>
        <w:jc w:val="both"/>
        <w:textAlignment w:val="baseline"/>
        <w:rPr>
          <w:rFonts w:hint="eastAsia" w:ascii="黑体" w:hAnsi="黑体" w:eastAsia="黑体" w:cs="黑体"/>
          <w:b/>
          <w:bCs/>
          <w:snapToGrid/>
          <w:kern w:val="0"/>
          <w:sz w:val="32"/>
          <w:szCs w:val="32"/>
          <w:lang w:val="en-US" w:eastAsia="zh-CN" w:bidi="ar"/>
        </w:rPr>
      </w:pPr>
      <w:r>
        <w:rPr>
          <w:rFonts w:hint="eastAsia" w:ascii="黑体" w:hAnsi="黑体" w:eastAsia="黑体" w:cs="黑体"/>
          <w:b/>
          <w:bCs/>
          <w:snapToGrid/>
          <w:kern w:val="0"/>
          <w:sz w:val="32"/>
          <w:szCs w:val="32"/>
          <w:lang w:val="en-US" w:eastAsia="zh-CN" w:bidi="ar"/>
        </w:rPr>
        <w:t>一、主要工作情况及成效</w:t>
      </w:r>
    </w:p>
    <w:p w14:paraId="2A1DDE7B">
      <w:pPr>
        <w:keepNext w:val="0"/>
        <w:keepLines w:val="0"/>
        <w:pageBreakBefore w:val="0"/>
        <w:widowControl/>
        <w:suppressLineNumbers w:val="0"/>
        <w:wordWrap/>
        <w:overflowPunct/>
        <w:topLinePunct w:val="0"/>
        <w:bidi w:val="0"/>
        <w:spacing w:line="560" w:lineRule="exact"/>
        <w:ind w:firstLine="643" w:firstLineChars="200"/>
        <w:jc w:val="left"/>
        <w:rPr>
          <w:rFonts w:hint="default" w:ascii="楷体" w:hAnsi="楷体" w:eastAsia="楷体" w:cs="楷体"/>
          <w:b/>
          <w:bCs w:val="0"/>
          <w:spacing w:val="0"/>
          <w:kern w:val="2"/>
          <w:sz w:val="32"/>
          <w:szCs w:val="32"/>
          <w:lang w:val="en-US" w:eastAsia="zh-CN" w:bidi="ar-SA"/>
        </w:rPr>
      </w:pPr>
      <w:r>
        <w:rPr>
          <w:rFonts w:hint="eastAsia" w:ascii="楷体" w:hAnsi="楷体" w:eastAsia="楷体" w:cs="楷体"/>
          <w:b/>
          <w:bCs w:val="0"/>
          <w:spacing w:val="0"/>
          <w:kern w:val="2"/>
          <w:sz w:val="32"/>
          <w:szCs w:val="32"/>
          <w:lang w:val="en-US" w:eastAsia="zh-CN" w:bidi="ar-SA"/>
        </w:rPr>
        <w:t>(一）锚定政治引领，筑牢法治建设根基</w:t>
      </w:r>
    </w:p>
    <w:p w14:paraId="4DE54AD2">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一是强化学法赋能。以学习习近平法治思想为首要政治任务，制定年度学法计划，累计开展中心组学习12次，开展街道、社区干部法治培训4次，邀请专家授课1次，提升干部依法决策、依法行政、依法办事的能力，推动“法治幸福”走深走实。</w:t>
      </w:r>
    </w:p>
    <w:p w14:paraId="14534629">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二是健全统筹机制。坚持法治建设与中心工作同频共振，全年召开专题会议22次，及时研究解决信访、重点人员管控等工作推进中的突出问题，构建起“党政主要负责人负总责、分管抓落实、部门同发力”的工作格局，将法治政府建设纳入年度目标考核体系，确保各项任务落地见效。</w:t>
      </w:r>
    </w:p>
    <w:p w14:paraId="775F1349">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是汇聚专业力量。制定《幸福街道推进合法性审查全覆盖工作实施方案（试行）》，结合街道工作实际，发挥司法所、法律顾问协同作用，为行政合法性审查、应诉复议等业务提供专业支撑，强化法治工作专业保障。</w:t>
      </w:r>
    </w:p>
    <w:p w14:paraId="3B2D73F4">
      <w:pPr>
        <w:keepNext w:val="0"/>
        <w:keepLines w:val="0"/>
        <w:pageBreakBefore w:val="0"/>
        <w:widowControl/>
        <w:suppressLineNumbers w:val="0"/>
        <w:wordWrap/>
        <w:overflowPunct/>
        <w:topLinePunct w:val="0"/>
        <w:bidi w:val="0"/>
        <w:spacing w:line="560" w:lineRule="exact"/>
        <w:ind w:firstLine="643" w:firstLineChars="200"/>
        <w:jc w:val="left"/>
        <w:rPr>
          <w:rFonts w:hint="eastAsia" w:ascii="楷体" w:hAnsi="楷体" w:eastAsia="楷体" w:cs="楷体"/>
          <w:b/>
          <w:bCs w:val="0"/>
          <w:snapToGrid w:val="0"/>
          <w:color w:val="000000"/>
          <w:spacing w:val="0"/>
          <w:kern w:val="2"/>
          <w:sz w:val="32"/>
          <w:szCs w:val="32"/>
          <w:lang w:val="en-US" w:eastAsia="zh-CN" w:bidi="ar-SA"/>
        </w:rPr>
      </w:pPr>
      <w:r>
        <w:rPr>
          <w:rFonts w:hint="eastAsia" w:ascii="楷体" w:hAnsi="楷体" w:eastAsia="楷体" w:cs="楷体"/>
          <w:b/>
          <w:bCs w:val="0"/>
          <w:snapToGrid w:val="0"/>
          <w:color w:val="000000"/>
          <w:spacing w:val="0"/>
          <w:kern w:val="2"/>
          <w:sz w:val="32"/>
          <w:szCs w:val="32"/>
          <w:lang w:val="en-US" w:eastAsia="zh-CN" w:bidi="ar-SA"/>
        </w:rPr>
        <w:t>（二）规范行政行为，提升依法行政质效</w:t>
      </w:r>
    </w:p>
    <w:p w14:paraId="76A254E4">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一是严格决策程序，明晰权责体系</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坚持民主集中制，积极推行“</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三</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重一大”决策</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制度</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今年以来</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“三重一大”报备研究</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177</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项。归纳履职事项</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113</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项，配合</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89</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项，回收</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158</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项，初步形成“事权清晰、责能相适、履职顺畅、保障有力”的权责体系。</w:t>
      </w:r>
    </w:p>
    <w:p w14:paraId="3667F0A8">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二是深化政务公开，回应群众关切</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。采用 “线上 + 线下” 融合模式，聚焦群众热点问题强化信息发布，</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通过政务新媒体“湾里幸福”微信公众号主动发布</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推送</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信息</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，依法办结南昌12345热线工单1065件，</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提升政务透明度。</w:t>
      </w:r>
    </w:p>
    <w:p w14:paraId="05C43743">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三是强化监督问责，筑牢思想防线。</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今年以来，开展“四必谈”60人次，政治谈话100人次，政治家访60人次，党（工）委书记现场办公会12次，开展通报警示教育26次。全方位提升党员干部的政治判断力、政治领悟力、政治执行力、夯实思想根基。</w:t>
      </w:r>
    </w:p>
    <w:p w14:paraId="2A487BFA">
      <w:pPr>
        <w:keepNext w:val="0"/>
        <w:keepLines w:val="0"/>
        <w:pageBreakBefore w:val="0"/>
        <w:widowControl/>
        <w:suppressLineNumbers w:val="0"/>
        <w:wordWrap/>
        <w:overflowPunct/>
        <w:topLinePunct w:val="0"/>
        <w:bidi w:val="0"/>
        <w:spacing w:line="560" w:lineRule="exact"/>
        <w:ind w:firstLine="321" w:firstLineChars="100"/>
        <w:jc w:val="left"/>
        <w:rPr>
          <w:rFonts w:hint="eastAsia" w:ascii="楷体" w:hAnsi="楷体" w:eastAsia="楷体" w:cs="楷体"/>
          <w:b/>
          <w:bCs w:val="0"/>
          <w:spacing w:val="0"/>
          <w:kern w:val="2"/>
          <w:sz w:val="32"/>
          <w:szCs w:val="32"/>
          <w:lang w:val="en-US" w:eastAsia="zh-CN" w:bidi="ar-SA"/>
        </w:rPr>
      </w:pPr>
      <w:r>
        <w:rPr>
          <w:rFonts w:hint="eastAsia" w:ascii="楷体" w:hAnsi="楷体" w:eastAsia="楷体" w:cs="楷体"/>
          <w:b/>
          <w:bCs w:val="0"/>
          <w:spacing w:val="0"/>
          <w:kern w:val="2"/>
          <w:sz w:val="32"/>
          <w:szCs w:val="32"/>
          <w:lang w:val="en-US" w:eastAsia="zh-CN" w:bidi="ar-SA"/>
        </w:rPr>
        <w:t>（三）优化执法效能，擦亮规范执法品牌</w:t>
      </w:r>
    </w:p>
    <w:p w14:paraId="7DB6A10A">
      <w:pPr>
        <w:keepNext w:val="0"/>
        <w:keepLines w:val="0"/>
        <w:pageBreakBefore w:val="0"/>
        <w:wordWrap/>
        <w:overflowPunct/>
        <w:topLinePunct w:val="0"/>
        <w:bidi w:val="0"/>
        <w:spacing w:line="560" w:lineRule="exact"/>
        <w:ind w:firstLine="640" w:firstLineChars="200"/>
        <w:jc w:val="left"/>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一是深化素能培训，提升执法水平。全面落实“谁执法、谁普法”普法责任制，对执法人员进行业务培训，做到公正、文明执法。截至目前，</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我</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街道</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通过</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召开</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会议、</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培训</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等多种形式开展</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学习</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教育</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5次</w:t>
      </w:r>
      <w:r>
        <w:rPr>
          <w:rFonts w:hint="eastAsia" w:ascii="仿宋_GB2312" w:hAnsi="仿宋_GB2312" w:eastAsia="仿宋_GB2312" w:cs="仿宋_GB2312"/>
          <w:color w:val="000000" w:themeColor="text1"/>
          <w:kern w:val="0"/>
          <w:sz w:val="32"/>
          <w:szCs w:val="32"/>
          <w:lang w:val="zh-CN"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参加培训100余人次，有效提升执法人员专业知识水平和执法能力。</w:t>
      </w:r>
    </w:p>
    <w:p w14:paraId="2007F63D">
      <w:pPr>
        <w:keepNext w:val="0"/>
        <w:keepLines w:val="0"/>
        <w:pageBreakBefore w:val="0"/>
        <w:wordWrap/>
        <w:overflowPunct/>
        <w:topLinePunct w:val="0"/>
        <w:bidi w:val="0"/>
        <w:spacing w:line="560" w:lineRule="exact"/>
        <w:ind w:firstLine="640" w:firstLineChars="200"/>
        <w:jc w:val="left"/>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二是严管队伍建设，规范执法资质。完善行政执法人员持证上岗和资格动态管理制度。今年以来动态管理3人，现有持证人员10人（含湾里管理局综合行政执法大队下沉3人），共办理行政处罚案件136起，其中一般程序2起、简易程序134起。</w:t>
      </w:r>
    </w:p>
    <w:p w14:paraId="3B55ECBA">
      <w:pPr>
        <w:keepNext w:val="0"/>
        <w:keepLines w:val="0"/>
        <w:pageBreakBefore w:val="0"/>
        <w:wordWrap/>
        <w:overflowPunct/>
        <w:topLinePunct w:val="0"/>
        <w:bidi w:val="0"/>
        <w:spacing w:line="560" w:lineRule="exact"/>
        <w:ind w:firstLine="640" w:firstLineChars="200"/>
        <w:jc w:val="left"/>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三是强化监督赋能，优化营商环境。严格落实司法所对街道行政执法工作的牵头协调作用，强化监督职责，严格落实持证上岗制度，规范文明执法，今年以来实地进行行政执法督察12次，案卷评查1次。为营造更加良好的法治化营商环境，不断规范涉企行政执法行为，开展专项监督走访行动，累计走访企业23家，反馈企业问题1个，开展</w:t>
      </w:r>
      <w:r>
        <w:rPr>
          <w:rFonts w:hint="eastAsia" w:ascii="仿宋_GB2312" w:hAnsi="仿宋_GB2312" w:eastAsia="仿宋_GB2312" w:cs="仿宋_GB2312"/>
          <w:sz w:val="32"/>
          <w:szCs w:val="32"/>
          <w:lang w:val="en-US" w:eastAsia="zh-CN"/>
        </w:rPr>
        <w:t>“法码同行”平台宣传10次，</w:t>
      </w:r>
      <w:r>
        <w:rPr>
          <w:rFonts w:hint="eastAsia" w:ascii="仿宋_GB2312" w:hAnsi="仿宋_GB2312" w:eastAsia="仿宋_GB2312" w:cs="仿宋_GB2312"/>
          <w:i w:val="0"/>
          <w:iCs w:val="0"/>
          <w:caps w:val="0"/>
          <w:color w:val="000000" w:themeColor="text1"/>
          <w:spacing w:val="0"/>
          <w:sz w:val="32"/>
          <w:szCs w:val="32"/>
          <w:shd w:val="clear" w:color="auto" w:fill="auto"/>
          <w14:textFill>
            <w14:solidFill>
              <w14:schemeClr w14:val="tx1"/>
            </w14:solidFill>
          </w14:textFill>
        </w:rPr>
        <w:t>切实做到"无事不扰、有求必应"</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p>
    <w:p w14:paraId="16BC5546">
      <w:pPr>
        <w:keepNext w:val="0"/>
        <w:keepLines w:val="0"/>
        <w:pageBreakBefore w:val="0"/>
        <w:widowControl/>
        <w:suppressLineNumbers w:val="0"/>
        <w:wordWrap/>
        <w:overflowPunct/>
        <w:topLinePunct w:val="0"/>
        <w:bidi w:val="0"/>
        <w:spacing w:line="560" w:lineRule="exact"/>
        <w:ind w:firstLine="321" w:firstLineChars="100"/>
        <w:jc w:val="left"/>
        <w:rPr>
          <w:rFonts w:hint="default" w:ascii="楷体" w:hAnsi="楷体" w:eastAsia="楷体" w:cs="楷体"/>
          <w:b/>
          <w:bCs w:val="0"/>
          <w:spacing w:val="0"/>
          <w:kern w:val="2"/>
          <w:sz w:val="32"/>
          <w:szCs w:val="32"/>
          <w:lang w:val="en-US" w:eastAsia="zh-CN" w:bidi="ar-SA"/>
        </w:rPr>
      </w:pPr>
      <w:r>
        <w:rPr>
          <w:rFonts w:hint="eastAsia" w:ascii="楷体" w:hAnsi="楷体" w:eastAsia="楷体" w:cs="楷体"/>
          <w:b/>
          <w:bCs w:val="0"/>
          <w:spacing w:val="0"/>
          <w:kern w:val="2"/>
          <w:sz w:val="32"/>
          <w:szCs w:val="32"/>
          <w:lang w:val="en-US" w:eastAsia="zh-CN" w:bidi="ar-SA"/>
        </w:rPr>
        <w:t>（四）</w:t>
      </w:r>
      <w:r>
        <w:rPr>
          <w:rFonts w:hint="default" w:ascii="楷体" w:hAnsi="楷体" w:eastAsia="楷体" w:cs="楷体"/>
          <w:b/>
          <w:bCs w:val="0"/>
          <w:spacing w:val="0"/>
          <w:kern w:val="2"/>
          <w:sz w:val="32"/>
          <w:szCs w:val="32"/>
          <w:lang w:val="en-US" w:eastAsia="zh-CN" w:bidi="ar-SA"/>
        </w:rPr>
        <w:t>聚焦平安建设，织密基层治理防护网</w:t>
      </w:r>
    </w:p>
    <w:p w14:paraId="4C8AC1C2">
      <w:pPr>
        <w:pStyle w:val="8"/>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t>一是践行 “枫桥经验”，源头化解矛盾。充分发挥综治中心联动协调功能，全年累计办理网上信访案件59件，成功化解竹林花园、伴山蝶墅等重点信访案件26件，开展矛盾纠纷排查120次，及时发现并化解徐某与李某等各类矛盾纠纷32件，及时将矛盾纠纷化解在基层、解决在萌芽状态。组织开展人民调解员培训2次，提高其调解能力和水平。</w:t>
      </w:r>
    </w:p>
    <w:p w14:paraId="29AD1BB4">
      <w:pPr>
        <w:pStyle w:val="8"/>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t>二是强化复议应诉，提升治理效能。针对案件中的争议焦点、难点等关键环节，在结案后深入开展复盘分析，推动 “以案促学、以案促改”。今年以来，共调处行政复议案5件，接到应诉案1件，开展行政复议进企业活动4次，通过法律咨询服务等形式，帮助企业提升依法经营能力。</w:t>
      </w:r>
    </w:p>
    <w:p w14:paraId="51E4E127">
      <w:pPr>
        <w:pStyle w:val="8"/>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lang w:val="en-US" w:eastAsia="zh-CN" w:bidi="ar"/>
          <w14:textFill>
            <w14:solidFill>
              <w14:schemeClr w14:val="tx1"/>
            </w14:solidFill>
          </w14:textFill>
        </w:rPr>
        <w:t>三是精准管控风险，筑牢平安根基。强化对社区矫正对象、安置帮教对象等特殊群体的重点教育管理，持续对重点人员开展摸排走访和法律宣传，积极消除和预防各种重新犯罪的因素。今年以来帮助服刑人员家属申请远程会见9次，当前在册社区矫正对象12人，安置帮教对象42人，未出现脱管、漏管人员。</w:t>
      </w:r>
    </w:p>
    <w:p w14:paraId="4242F62A">
      <w:pPr>
        <w:keepNext w:val="0"/>
        <w:keepLines w:val="0"/>
        <w:pageBreakBefore w:val="0"/>
        <w:widowControl/>
        <w:suppressLineNumbers w:val="0"/>
        <w:wordWrap/>
        <w:overflowPunct/>
        <w:topLinePunct w:val="0"/>
        <w:bidi w:val="0"/>
        <w:spacing w:line="560" w:lineRule="exact"/>
        <w:ind w:firstLine="643" w:firstLineChars="200"/>
        <w:jc w:val="left"/>
        <w:rPr>
          <w:rFonts w:hint="eastAsia" w:ascii="楷体" w:hAnsi="楷体" w:eastAsia="楷体" w:cs="楷体"/>
          <w:b/>
          <w:bCs w:val="0"/>
          <w:snapToGrid w:val="0"/>
          <w:color w:val="000000"/>
          <w:spacing w:val="0"/>
          <w:kern w:val="2"/>
          <w:sz w:val="32"/>
          <w:szCs w:val="32"/>
          <w:lang w:val="en-US" w:eastAsia="zh-CN" w:bidi="ar-SA"/>
        </w:rPr>
      </w:pPr>
      <w:r>
        <w:rPr>
          <w:rFonts w:hint="eastAsia" w:ascii="楷体" w:hAnsi="楷体" w:eastAsia="楷体" w:cs="楷体"/>
          <w:b/>
          <w:bCs w:val="0"/>
          <w:snapToGrid w:val="0"/>
          <w:color w:val="000000"/>
          <w:spacing w:val="0"/>
          <w:kern w:val="2"/>
          <w:sz w:val="32"/>
          <w:szCs w:val="32"/>
          <w:lang w:val="en-US" w:eastAsia="zh-CN" w:bidi="ar-SA"/>
        </w:rPr>
        <w:t>（五）深化普法宣传，营造浓厚法治氛围</w:t>
      </w:r>
    </w:p>
    <w:p w14:paraId="5E755E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一是开展主题普法，构建多元格局。构建“线上+线下”普法格局，线下依托漫和城早酒市集、见山市集等群众聚集场所开展主题宣传60场，受教育群众达</w:t>
      </w:r>
      <w:bookmarkStart w:id="0" w:name="_GoBack"/>
      <w:bookmarkEnd w:id="0"/>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6000余人次。线上运用“幸福微普法”围绕“3·15”国际消费者权益日、“4·15”全民国家安全教育日、“宪法宣传周”等重要节点开展专题普法活动200余次。</w:t>
      </w:r>
    </w:p>
    <w:p w14:paraId="154BADB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二是畅通服务渠道，回应法治需求。依托街道公共法律服务工作站和志愿队伍为群众提供便捷的服务渠道。目前，累计受理各类法律咨询并录入工单900余件，</w:t>
      </w:r>
      <w:r>
        <w:rPr>
          <w:rFonts w:hint="eastAsia" w:ascii="仿宋_GB2312" w:hAnsi="仿宋_GB2312" w:eastAsia="仿宋_GB2312" w:cs="仿宋_GB2312"/>
          <w:sz w:val="32"/>
          <w:szCs w:val="32"/>
          <w:lang w:val="en-US" w:eastAsia="zh-CN"/>
        </w:rPr>
        <w:t>组织平安志愿者服务240次，累计开展“洪城义警”巡逻300余次、夜间巡逻96次，排查整治安全隐患200余处</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p>
    <w:p w14:paraId="41A1A45C">
      <w:pPr>
        <w:keepNext w:val="0"/>
        <w:keepLines w:val="0"/>
        <w:pageBreakBefore w:val="0"/>
        <w:widowControl/>
        <w:kinsoku w:val="0"/>
        <w:wordWrap/>
        <w:overflowPunct/>
        <w:topLinePunct w:val="0"/>
        <w:autoSpaceDE w:val="0"/>
        <w:autoSpaceDN w:val="0"/>
        <w:bidi w:val="0"/>
        <w:adjustRightInd w:val="0"/>
        <w:snapToGrid/>
        <w:spacing w:line="560" w:lineRule="exact"/>
        <w:ind w:firstLine="640" w:firstLineChars="200"/>
        <w:jc w:val="both"/>
        <w:textAlignment w:val="baseline"/>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三是深化基层看法，凝聚治理合力。</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将“基层看法”与“网格治理”结合</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加大“基层看法”工作宣传力度，今年以来，开展由“上”往“下”看观察项目5个，反馈意见建议30条；开展由“下”往“上”看观察项目13个，征求建议48条，协调办理10项，上报统筹协调1项，切实做到让法规草案到群众中去”，意见建议“从群众中来”，不断提高“基层看法”工作质效。 </w:t>
      </w:r>
    </w:p>
    <w:p w14:paraId="4450E704">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13" w:leftChars="0" w:firstLine="643" w:firstLineChars="0"/>
        <w:textAlignment w:val="auto"/>
        <w:rPr>
          <w:rFonts w:hint="eastAsia" w:ascii="黑体" w:hAnsi="黑体" w:eastAsia="黑体" w:cs="黑体"/>
          <w:b/>
          <w:bCs/>
          <w:snapToGrid/>
          <w:color w:val="000000"/>
          <w:kern w:val="0"/>
          <w:sz w:val="32"/>
          <w:szCs w:val="32"/>
          <w:lang w:val="en-US" w:eastAsia="zh-CN" w:bidi="ar"/>
        </w:rPr>
      </w:pPr>
      <w:r>
        <w:rPr>
          <w:rFonts w:hint="eastAsia" w:ascii="黑体" w:hAnsi="黑体" w:eastAsia="黑体" w:cs="黑体"/>
          <w:b/>
          <w:bCs/>
          <w:snapToGrid/>
          <w:color w:val="000000"/>
          <w:kern w:val="0"/>
          <w:sz w:val="32"/>
          <w:szCs w:val="32"/>
          <w:lang w:val="en-US" w:eastAsia="zh-CN" w:bidi="ar"/>
        </w:rPr>
        <w:t>主要存在的问题</w:t>
      </w:r>
    </w:p>
    <w:p w14:paraId="5BC8687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t>2025年，在推进法治政府建设方面取得了一定的成绩，但也存在一些不足和差距，主要表现在法治宣传教育针对性和实效性有待提升、基层依法行政能力有待加强、矛盾纠纷化解难度不断加大等。</w:t>
      </w:r>
    </w:p>
    <w:p w14:paraId="098DE916">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13" w:leftChars="0" w:firstLine="643" w:firstLineChars="0"/>
        <w:textAlignment w:val="auto"/>
        <w:rPr>
          <w:rFonts w:hint="eastAsia" w:ascii="黑体" w:hAnsi="黑体" w:eastAsia="黑体" w:cs="黑体"/>
          <w:b/>
          <w:bCs/>
          <w:snapToGrid/>
          <w:color w:val="000000"/>
          <w:kern w:val="0"/>
          <w:sz w:val="32"/>
          <w:szCs w:val="32"/>
          <w:lang w:val="en-US" w:eastAsia="zh-CN" w:bidi="ar"/>
        </w:rPr>
      </w:pPr>
      <w:r>
        <w:rPr>
          <w:rFonts w:hint="eastAsia" w:ascii="黑体" w:hAnsi="黑体" w:eastAsia="黑体" w:cs="黑体"/>
          <w:b/>
          <w:bCs/>
          <w:snapToGrid/>
          <w:color w:val="000000"/>
          <w:kern w:val="0"/>
          <w:sz w:val="32"/>
          <w:szCs w:val="32"/>
          <w:lang w:val="en-US" w:eastAsia="zh-CN" w:bidi="ar"/>
        </w:rPr>
        <w:t>主要负责人履行职责情况</w:t>
      </w:r>
    </w:p>
    <w:p w14:paraId="59EB4EF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t>街道党政主要负责人严格履行推进法治建设第一责任人职责，将法治政府建设纳入街道整体工作规划和年度重点任务，统筹推进各项工作落实。</w:t>
      </w:r>
    </w:p>
    <w:p w14:paraId="7969C69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t>（一）统筹谋划，压实责任。严格执行党政主要负责人履行推进法治建设第一责任人职责等制度，研究部署重点任务，通过专题会议、定期调度等方式，层层传导压力，确保法治建设各项任务分解到位、责任到人。</w:t>
      </w:r>
    </w:p>
    <w:p w14:paraId="17164840">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t>（二）示范引领，带头学法。坚持把法治学习纳入党委理论学习中心组学习重点，带头学习宪法、民法典等核心法律法规及基层治理相关政策文件。严格执行重大行政决策法定程序，带头遵守法律、依法办事，为街道干部职工树立学法用法标杆。</w:t>
      </w:r>
    </w:p>
    <w:p w14:paraId="5A5E26D5">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t>（三）靠前推动，提升实效。聚焦法治政府建设重点工作，推动法治宣传教育、矛盾纠纷化解等工作融入基层治理，针对群众反映强烈的法治领域突出问题，亲自调度，推动解决涉及群众切身利益的法治难题。</w:t>
      </w:r>
    </w:p>
    <w:p w14:paraId="75AF2B7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黑体" w:hAnsi="黑体" w:eastAsia="黑体" w:cs="黑体"/>
          <w:b/>
          <w:bCs/>
          <w:snapToGrid/>
          <w:color w:val="000000"/>
          <w:kern w:val="0"/>
          <w:sz w:val="32"/>
          <w:szCs w:val="32"/>
          <w:lang w:val="en-US" w:eastAsia="zh-CN" w:bidi="ar"/>
        </w:rPr>
      </w:pPr>
      <w:r>
        <w:rPr>
          <w:rFonts w:hint="eastAsia" w:ascii="黑体" w:hAnsi="黑体" w:eastAsia="黑体" w:cs="黑体"/>
          <w:b/>
          <w:bCs/>
          <w:snapToGrid/>
          <w:color w:val="000000"/>
          <w:kern w:val="0"/>
          <w:sz w:val="32"/>
          <w:szCs w:val="32"/>
          <w:lang w:val="en-US" w:eastAsia="zh-CN" w:bidi="ar"/>
        </w:rPr>
        <w:t>四、2026年工作安排</w:t>
      </w:r>
    </w:p>
    <w:p w14:paraId="6191CD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（一）深化法治学习培训，提升依法行政能力。</w:t>
      </w:r>
      <w:r>
        <w:rPr>
          <w:rFonts w:hint="eastAsia" w:ascii="仿宋_GB2312" w:hAnsi="仿宋_GB2312" w:eastAsia="仿宋_GB2312" w:cs="仿宋_GB2312"/>
          <w:kern w:val="0"/>
          <w:sz w:val="32"/>
          <w:szCs w:val="32"/>
          <w:lang w:val="en-US" w:eastAsia="zh-CN" w:bidi="ar"/>
        </w:rPr>
        <w:t>持续深入学习贯彻习近平法治思想，完善党工委理论学习中心组学法计划，重点加强对新型法律法规、执法实务的学习，提升培训针对性和实效性。</w:t>
      </w:r>
    </w:p>
    <w:p w14:paraId="7312BF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（二）创新精准普法模式，厚植全民法治氛围。</w:t>
      </w:r>
      <w:r>
        <w:rPr>
          <w:rFonts w:hint="eastAsia" w:ascii="仿宋_GB2312" w:hAnsi="仿宋_GB2312" w:eastAsia="仿宋_GB2312" w:cs="仿宋_GB2312"/>
          <w:kern w:val="0"/>
          <w:sz w:val="32"/>
          <w:szCs w:val="32"/>
          <w:lang w:val="en-US" w:eastAsia="zh-CN" w:bidi="ar"/>
        </w:rPr>
        <w:t>开展个性化普法服务，针对老年人、青少年、新业态从业者等重点群体，定制专属普法内容。加强与社区、学校、企业的联动，推动普法宣传精准对接群众需求。</w:t>
      </w:r>
    </w:p>
    <w:p w14:paraId="08069D23">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napToGrid w:val="0"/>
          <w:color w:val="000000"/>
          <w:kern w:val="0"/>
          <w:sz w:val="32"/>
          <w:szCs w:val="32"/>
          <w:lang w:val="en-US" w:eastAsia="zh-CN" w:bidi="ar"/>
        </w:rPr>
        <w:t>（三）</w:t>
      </w:r>
      <w:r>
        <w:rPr>
          <w:rFonts w:hint="eastAsia" w:ascii="仿宋_GB2312" w:hAnsi="仿宋_GB2312" w:eastAsia="仿宋_GB2312" w:cs="仿宋_GB2312"/>
          <w:b/>
          <w:bCs/>
          <w:kern w:val="0"/>
          <w:sz w:val="32"/>
          <w:szCs w:val="32"/>
          <w:lang w:val="en-US" w:eastAsia="zh-CN" w:bidi="ar"/>
        </w:rPr>
        <w:t>健全矛盾化解机制，筑牢基层平安防线。</w:t>
      </w:r>
      <w:r>
        <w:rPr>
          <w:rFonts w:hint="eastAsia" w:ascii="仿宋_GB2312" w:hAnsi="仿宋_GB2312" w:eastAsia="仿宋_GB2312" w:cs="仿宋_GB2312"/>
          <w:kern w:val="0"/>
          <w:sz w:val="32"/>
          <w:szCs w:val="32"/>
          <w:lang w:val="en-US" w:eastAsia="zh-CN" w:bidi="ar"/>
        </w:rPr>
        <w:t>加强调解队伍建设，定期开展调解业务培训，提升调解员化解复杂矛盾纠纷的能力。深化多元化解机制协同联动，加强综治中心、司法所、派出所等部门的协作配合，提升化解效能。</w:t>
      </w:r>
    </w:p>
    <w:p w14:paraId="104F4020">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p>
    <w:p w14:paraId="621CF13C">
      <w:pPr>
        <w:pStyle w:val="8"/>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napToGrid w:val="0"/>
          <w:color w:val="000000"/>
          <w:kern w:val="0"/>
          <w:sz w:val="32"/>
          <w:szCs w:val="32"/>
          <w:lang w:val="en-US" w:eastAsia="zh-CN" w:bidi="ar"/>
        </w:rPr>
      </w:pPr>
    </w:p>
    <w:p w14:paraId="02BA5C22">
      <w:pPr>
        <w:keepNext w:val="0"/>
        <w:keepLines w:val="0"/>
        <w:pageBreakBefore w:val="0"/>
        <w:widowControl w:val="0"/>
        <w:tabs>
          <w:tab w:val="left" w:pos="6510"/>
        </w:tabs>
        <w:kinsoku/>
        <w:wordWrap/>
        <w:overflowPunct/>
        <w:topLinePunct w:val="0"/>
        <w:autoSpaceDE/>
        <w:autoSpaceDN/>
        <w:bidi w:val="0"/>
        <w:adjustRightInd/>
        <w:snapToGrid/>
        <w:spacing w:line="560" w:lineRule="exact"/>
        <w:ind w:firstLine="5440" w:firstLineChars="1700"/>
        <w:jc w:val="both"/>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幸福街道办事处</w:t>
      </w:r>
    </w:p>
    <w:p w14:paraId="04B4177F">
      <w:pPr>
        <w:keepNext w:val="0"/>
        <w:keepLines w:val="0"/>
        <w:pageBreakBefore w:val="0"/>
        <w:widowControl w:val="0"/>
        <w:tabs>
          <w:tab w:val="left" w:pos="6510"/>
        </w:tabs>
        <w:kinsoku/>
        <w:wordWrap/>
        <w:overflowPunct/>
        <w:topLinePunct w:val="0"/>
        <w:autoSpaceDE/>
        <w:autoSpaceDN/>
        <w:bidi w:val="0"/>
        <w:adjustRightInd/>
        <w:snapToGrid/>
        <w:spacing w:line="560" w:lineRule="exact"/>
        <w:ind w:firstLine="640" w:firstLineChars="200"/>
        <w:jc w:val="center"/>
        <w:textAlignment w:val="auto"/>
        <w:rPr>
          <w:rFonts w:hint="default"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 xml:space="preserve">                           2026年1月6日</w:t>
      </w:r>
    </w:p>
    <w:p w14:paraId="6CD499BB">
      <w:pPr>
        <w:keepNext w:val="0"/>
        <w:keepLines w:val="0"/>
        <w:pageBreakBefore w:val="0"/>
        <w:widowControl w:val="0"/>
        <w:tabs>
          <w:tab w:val="left" w:pos="6510"/>
        </w:tabs>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Times New Roman" w:eastAsia="仿宋_GB2312" w:cs="Times New Roman"/>
          <w:b w:val="0"/>
          <w:bCs w:val="0"/>
          <w:kern w:val="2"/>
          <w:sz w:val="32"/>
          <w:szCs w:val="32"/>
          <w:lang w:val="en-US" w:eastAsia="zh-CN" w:bidi="ar-SA"/>
        </w:rPr>
      </w:pPr>
    </w:p>
    <w:p w14:paraId="3BF408F7">
      <w:pPr>
        <w:keepNext w:val="0"/>
        <w:keepLines w:val="0"/>
        <w:pageBreakBefore w:val="0"/>
        <w:widowControl/>
        <w:kinsoku w:val="0"/>
        <w:wordWrap/>
        <w:overflowPunct/>
        <w:topLinePunct w:val="0"/>
        <w:autoSpaceDE w:val="0"/>
        <w:autoSpaceDN w:val="0"/>
        <w:bidi w:val="0"/>
        <w:adjustRightInd w:val="0"/>
        <w:snapToGrid/>
        <w:spacing w:line="520" w:lineRule="exact"/>
        <w:jc w:val="both"/>
        <w:textAlignment w:val="baseline"/>
        <w:rPr>
          <w:rFonts w:hint="default"/>
          <w:lang w:val="en-US"/>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50610E-17EF-49EB-95FF-1941AAB99F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1532623C-B264-463C-B052-3A54F6527F6E}"/>
  </w:font>
  <w:font w:name="仿宋_GB2312">
    <w:altName w:val="仿宋"/>
    <w:panose1 w:val="02010609030101010101"/>
    <w:charset w:val="86"/>
    <w:family w:val="auto"/>
    <w:pitch w:val="default"/>
    <w:sig w:usb0="00000000" w:usb1="00000000" w:usb2="00000000" w:usb3="00000000" w:csb0="00040000" w:csb1="00000000"/>
    <w:embedRegular r:id="rId3" w:fontKey="{A7ACDFB4-BE3A-40ED-B663-68B8AD55E68C}"/>
  </w:font>
  <w:font w:name="楷体">
    <w:panose1 w:val="02010609060101010101"/>
    <w:charset w:val="86"/>
    <w:family w:val="auto"/>
    <w:pitch w:val="default"/>
    <w:sig w:usb0="800002BF" w:usb1="38CF7CFA" w:usb2="00000016" w:usb3="00000000" w:csb0="00040001" w:csb1="00000000"/>
    <w:embedRegular r:id="rId4" w:fontKey="{6F56066C-0C62-4F2A-BFF7-0AC90BC792A6}"/>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227AA">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8492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B8492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1D00E6"/>
    <w:multiLevelType w:val="singleLevel"/>
    <w:tmpl w:val="2A1D00E6"/>
    <w:lvl w:ilvl="0" w:tentative="0">
      <w:start w:val="2"/>
      <w:numFmt w:val="chineseCounting"/>
      <w:suff w:val="nothing"/>
      <w:lvlText w:val="%1、"/>
      <w:lvlJc w:val="left"/>
      <w:pPr>
        <w:ind w:left="-1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4NDRiMmE5NzRiNTc2NDg2ZDQ0NmQwYWQxZDNiNjcifQ=="/>
  </w:docVars>
  <w:rsids>
    <w:rsidRoot w:val="740B7D95"/>
    <w:rsid w:val="001A64C4"/>
    <w:rsid w:val="018072AF"/>
    <w:rsid w:val="03DD7F34"/>
    <w:rsid w:val="0438006D"/>
    <w:rsid w:val="05EA6938"/>
    <w:rsid w:val="0CB22BE7"/>
    <w:rsid w:val="10331B4D"/>
    <w:rsid w:val="14E40C49"/>
    <w:rsid w:val="19D21766"/>
    <w:rsid w:val="19FE68F7"/>
    <w:rsid w:val="1B9B2722"/>
    <w:rsid w:val="1F3A2287"/>
    <w:rsid w:val="2027280B"/>
    <w:rsid w:val="21B41A3B"/>
    <w:rsid w:val="246A74D5"/>
    <w:rsid w:val="2E220BD4"/>
    <w:rsid w:val="32452FC5"/>
    <w:rsid w:val="34831B82"/>
    <w:rsid w:val="3527630D"/>
    <w:rsid w:val="35E6061B"/>
    <w:rsid w:val="383B77B9"/>
    <w:rsid w:val="3B423F0F"/>
    <w:rsid w:val="3C4B742A"/>
    <w:rsid w:val="3DAA4F1B"/>
    <w:rsid w:val="4012322E"/>
    <w:rsid w:val="4729044D"/>
    <w:rsid w:val="476A4435"/>
    <w:rsid w:val="47C95278"/>
    <w:rsid w:val="490C1CEF"/>
    <w:rsid w:val="4AAB66D8"/>
    <w:rsid w:val="4B245A16"/>
    <w:rsid w:val="4F813436"/>
    <w:rsid w:val="52A45842"/>
    <w:rsid w:val="538928BA"/>
    <w:rsid w:val="556756B4"/>
    <w:rsid w:val="5763096F"/>
    <w:rsid w:val="57FE7236"/>
    <w:rsid w:val="5DB63010"/>
    <w:rsid w:val="5F086DA9"/>
    <w:rsid w:val="60B33E0A"/>
    <w:rsid w:val="62870018"/>
    <w:rsid w:val="62D94E28"/>
    <w:rsid w:val="639E35E1"/>
    <w:rsid w:val="644542F4"/>
    <w:rsid w:val="66C037C7"/>
    <w:rsid w:val="6C6F0F5A"/>
    <w:rsid w:val="704A7E0F"/>
    <w:rsid w:val="711A0B9D"/>
    <w:rsid w:val="73CA17F8"/>
    <w:rsid w:val="740B7D95"/>
    <w:rsid w:val="79387A61"/>
    <w:rsid w:val="7C512879"/>
    <w:rsid w:val="7DEB0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Body Text Indent"/>
    <w:basedOn w:val="1"/>
    <w:qFormat/>
    <w:uiPriority w:val="0"/>
    <w:pPr>
      <w:ind w:firstLine="570"/>
    </w:pPr>
    <w:rPr>
      <w:rFonts w:ascii="_x000B__x000C_" w:hAnsi="_x000B__x000C_"/>
      <w:sz w:val="28"/>
      <w:szCs w:val="28"/>
    </w:rPr>
  </w:style>
  <w:style w:type="paragraph" w:styleId="4">
    <w:name w:val="Plain Text"/>
    <w:basedOn w:val="1"/>
    <w:next w:val="5"/>
    <w:qFormat/>
    <w:uiPriority w:val="99"/>
    <w:pPr>
      <w:widowControl w:val="0"/>
      <w:jc w:val="both"/>
    </w:pPr>
    <w:rPr>
      <w:rFonts w:ascii="宋体" w:hAnsi="Courier New" w:eastAsia="宋体" w:cs="Times New Roman"/>
      <w:kern w:val="2"/>
      <w:sz w:val="21"/>
      <w:szCs w:val="21"/>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w:basedOn w:val="2"/>
    <w:qFormat/>
    <w:uiPriority w:val="0"/>
    <w:pPr>
      <w:ind w:firstLine="420" w:firstLineChars="100"/>
    </w:pPr>
  </w:style>
  <w:style w:type="paragraph" w:styleId="9">
    <w:name w:val="Body Text First Indent 2"/>
    <w:basedOn w:val="3"/>
    <w:qFormat/>
    <w:uiPriority w:val="0"/>
    <w:pPr>
      <w:ind w:firstLine="420" w:firstLineChars="200"/>
    </w:pPr>
  </w:style>
  <w:style w:type="character" w:styleId="12">
    <w:name w:val="Strong"/>
    <w:basedOn w:val="11"/>
    <w:qFormat/>
    <w:uiPriority w:val="0"/>
    <w:rPr>
      <w:b/>
    </w:rPr>
  </w:style>
  <w:style w:type="paragraph" w:customStyle="1" w:styleId="13">
    <w:name w:val="正文文字"/>
    <w:basedOn w:val="1"/>
    <w:next w:val="1"/>
    <w:qFormat/>
    <w:uiPriority w:val="99"/>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2884</Words>
  <Characters>2959</Characters>
  <Lines>0</Lines>
  <Paragraphs>0</Paragraphs>
  <TotalTime>57</TotalTime>
  <ScaleCrop>false</ScaleCrop>
  <LinksUpToDate>false</LinksUpToDate>
  <CharactersWithSpaces>2993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2024-11-22T02:12:00Z</dcterms:created>
  <dc:creator>WUNLIN _</dc:creator>
  <cp:lastModifiedBy>WUNLIN _</cp:lastModifiedBy>
  <cp:lastPrinted>2024-12-02T05:43:00Z</cp:lastPrinted>
  <dcterms:modified xsi:type="dcterms:W3CDTF">2026-07-16T09:02:57Z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370264AF79984EA7949FA4C3117D4C6B_13</vt:lpwstr>
  </property>
  <property fmtid="{D5CDD505-2E9C-101B-9397-08002B2CF9AE}" pid="4" name="KSOTemplateDocerSaveRecord">
    <vt:lpwstr>eyJoZGlkIjoiOGE4NDRiMmE5NzRiNTc2NDg2ZDQ0NmQwYWQxZDNiNjciLCJ1c2VySWQiOiI0MTAzNDE0NjUifQ==</vt:lpwstr>
  </property>
</Properties>
</file>