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b w:val="0"/>
          <w:bCs w:val="0"/>
          <w:color w:val="auto"/>
          <w:spacing w:val="-20"/>
          <w:sz w:val="44"/>
          <w:szCs w:val="44"/>
          <w:highlight w:val="none"/>
          <w:lang w:val="en-US" w:eastAsia="zh-CN"/>
        </w:rPr>
      </w:pPr>
      <w:r>
        <w:rPr>
          <w:rFonts w:hint="eastAsia" w:ascii="方正小标宋简体" w:hAnsi="方正小标宋简体" w:eastAsia="方正小标宋简体" w:cs="方正小标宋简体"/>
          <w:b w:val="0"/>
          <w:bCs w:val="0"/>
          <w:color w:val="auto"/>
          <w:spacing w:val="-20"/>
          <w:sz w:val="44"/>
          <w:szCs w:val="44"/>
          <w:highlight w:val="none"/>
          <w:lang w:val="en-US" w:eastAsia="zh-CN"/>
        </w:rPr>
        <w:t>湾里管理局</w:t>
      </w:r>
      <w:r>
        <w:rPr>
          <w:rFonts w:hint="eastAsia" w:ascii="方正小标宋简体" w:hAnsi="方正小标宋简体" w:eastAsia="方正小标宋简体" w:cs="方正小标宋简体"/>
          <w:b w:val="0"/>
          <w:bCs w:val="0"/>
          <w:color w:val="auto"/>
          <w:spacing w:val="-20"/>
          <w:sz w:val="44"/>
          <w:szCs w:val="44"/>
          <w:highlight w:val="none"/>
        </w:rPr>
        <w:t>深化集体林权制度改革</w:t>
      </w:r>
      <w:r>
        <w:rPr>
          <w:rFonts w:hint="eastAsia" w:ascii="方正小标宋简体" w:hAnsi="方正小标宋简体" w:eastAsia="方正小标宋简体" w:cs="方正小标宋简体"/>
          <w:b w:val="0"/>
          <w:bCs w:val="0"/>
          <w:color w:val="auto"/>
          <w:spacing w:val="-20"/>
          <w:sz w:val="44"/>
          <w:szCs w:val="44"/>
          <w:highlight w:val="none"/>
          <w:lang w:eastAsia="zh-CN"/>
        </w:rPr>
        <w:t>实施</w:t>
      </w:r>
      <w:r>
        <w:rPr>
          <w:rFonts w:hint="eastAsia" w:ascii="方正小标宋简体" w:hAnsi="方正小标宋简体" w:eastAsia="方正小标宋简体" w:cs="方正小标宋简体"/>
          <w:b w:val="0"/>
          <w:bCs w:val="0"/>
          <w:color w:val="auto"/>
          <w:spacing w:val="-20"/>
          <w:sz w:val="44"/>
          <w:szCs w:val="44"/>
          <w:highlight w:val="none"/>
          <w:lang w:val="en-US" w:eastAsia="zh-CN"/>
        </w:rPr>
        <w:t>方案</w:t>
      </w:r>
    </w:p>
    <w:p>
      <w:pPr>
        <w:keepNext w:val="0"/>
        <w:keepLines w:val="0"/>
        <w:pageBreakBefore w:val="0"/>
        <w:widowControl w:val="0"/>
        <w:kinsoku/>
        <w:wordWrap/>
        <w:overflowPunct w:val="0"/>
        <w:topLinePunct/>
        <w:autoSpaceDE/>
        <w:autoSpaceDN/>
        <w:bidi w:val="0"/>
        <w:adjustRightInd/>
        <w:snapToGrid/>
        <w:spacing w:line="560" w:lineRule="exact"/>
        <w:jc w:val="center"/>
        <w:textAlignment w:val="auto"/>
        <w:rPr>
          <w:rFonts w:hint="eastAsia" w:ascii="CESI楷体-GB2312" w:hAnsi="CESI楷体-GB2312" w:eastAsia="CESI楷体-GB2312" w:cs="CESI楷体-GB2312"/>
          <w:color w:val="auto"/>
          <w:sz w:val="44"/>
          <w:szCs w:val="44"/>
          <w:highlight w:val="none"/>
          <w:lang w:val="en-US" w:eastAsia="zh-CN"/>
        </w:rPr>
      </w:pPr>
      <w:r>
        <w:rPr>
          <w:rFonts w:hint="eastAsia" w:ascii="CESI楷体-GB2312" w:hAnsi="CESI楷体-GB2312" w:eastAsia="CESI楷体-GB2312" w:cs="CESI楷体-GB2312"/>
          <w:color w:val="auto"/>
          <w:sz w:val="44"/>
          <w:szCs w:val="44"/>
          <w:highlight w:val="none"/>
          <w:lang w:val="en-US" w:eastAsia="zh-CN"/>
        </w:rPr>
        <w:t>(征求意见稿)</w:t>
      </w:r>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为全面落实《中共江西省委、江西省人民政府关于印发&lt;江西省深化集体林权制度改革先行区建设方案&gt;的通知》</w:t>
      </w:r>
      <w:r>
        <w:rPr>
          <w:rFonts w:hint="eastAsia" w:ascii="仿宋_GB2312" w:hAnsi="仿宋_GB2312" w:eastAsia="仿宋_GB2312" w:cs="仿宋_GB2312"/>
          <w:color w:val="auto"/>
          <w:sz w:val="32"/>
          <w:szCs w:val="32"/>
          <w:highlight w:val="none"/>
          <w:lang w:eastAsia="zh-CN"/>
        </w:rPr>
        <w:t>（赣发〔</w:t>
      </w:r>
      <w:r>
        <w:rPr>
          <w:rFonts w:hint="eastAsia" w:ascii="仿宋_GB2312" w:hAnsi="仿宋_GB2312" w:eastAsia="仿宋_GB2312" w:cs="仿宋_GB2312"/>
          <w:color w:val="auto"/>
          <w:sz w:val="32"/>
          <w:szCs w:val="32"/>
          <w:highlight w:val="none"/>
          <w:lang w:val="en-US" w:eastAsia="zh-CN"/>
        </w:rPr>
        <w:t>2024</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9号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精神</w:t>
      </w:r>
      <w:r>
        <w:rPr>
          <w:rFonts w:hint="eastAsia" w:ascii="仿宋_GB2312" w:hAnsi="仿宋_GB2312" w:eastAsia="仿宋_GB2312" w:cs="仿宋_GB2312"/>
          <w:color w:val="auto"/>
          <w:sz w:val="32"/>
          <w:szCs w:val="32"/>
          <w:highlight w:val="none"/>
        </w:rPr>
        <w:t>，加快推进全</w:t>
      </w:r>
      <w:r>
        <w:rPr>
          <w:rFonts w:hint="eastAsia" w:ascii="仿宋_GB2312" w:hAnsi="仿宋_GB2312" w:eastAsia="仿宋_GB2312" w:cs="仿宋_GB2312"/>
          <w:color w:val="auto"/>
          <w:sz w:val="32"/>
          <w:szCs w:val="32"/>
          <w:highlight w:val="none"/>
          <w:lang w:val="en-US" w:eastAsia="zh-CN"/>
        </w:rPr>
        <w:t>局集体林权制度</w:t>
      </w:r>
      <w:r>
        <w:rPr>
          <w:rFonts w:hint="eastAsia" w:ascii="仿宋_GB2312" w:hAnsi="仿宋_GB2312" w:eastAsia="仿宋_GB2312" w:cs="仿宋_GB2312"/>
          <w:color w:val="auto"/>
          <w:sz w:val="32"/>
          <w:szCs w:val="32"/>
          <w:highlight w:val="none"/>
        </w:rPr>
        <w:t>改革，进一步解放和发展林业生产力，充分发挥</w:t>
      </w:r>
      <w:r>
        <w:rPr>
          <w:rFonts w:hint="eastAsia" w:ascii="仿宋_GB2312" w:hAnsi="仿宋_GB2312" w:eastAsia="仿宋_GB2312" w:cs="仿宋_GB2312"/>
          <w:color w:val="auto"/>
          <w:sz w:val="32"/>
          <w:szCs w:val="32"/>
          <w:highlight w:val="none"/>
          <w:lang w:val="en-US" w:eastAsia="zh-CN"/>
        </w:rPr>
        <w:t>集体林地</w:t>
      </w:r>
      <w:r>
        <w:rPr>
          <w:rFonts w:hint="eastAsia" w:ascii="仿宋_GB2312" w:hAnsi="仿宋_GB2312" w:eastAsia="仿宋_GB2312" w:cs="仿宋_GB2312"/>
          <w:color w:val="auto"/>
          <w:sz w:val="32"/>
          <w:szCs w:val="32"/>
          <w:highlight w:val="none"/>
        </w:rPr>
        <w:t>在生态建设中的重要作用，结合</w:t>
      </w:r>
      <w:r>
        <w:rPr>
          <w:rFonts w:hint="eastAsia" w:ascii="仿宋_GB2312" w:hAnsi="仿宋_GB2312" w:eastAsia="仿宋_GB2312" w:cs="仿宋_GB2312"/>
          <w:color w:val="auto"/>
          <w:sz w:val="32"/>
          <w:szCs w:val="32"/>
          <w:highlight w:val="none"/>
          <w:lang w:eastAsia="zh-CN"/>
        </w:rPr>
        <w:t>全</w:t>
      </w:r>
      <w:r>
        <w:rPr>
          <w:rFonts w:hint="eastAsia" w:ascii="仿宋_GB2312" w:hAnsi="仿宋_GB2312" w:eastAsia="仿宋_GB2312" w:cs="仿宋_GB2312"/>
          <w:color w:val="auto"/>
          <w:sz w:val="32"/>
          <w:szCs w:val="32"/>
          <w:highlight w:val="none"/>
          <w:lang w:val="en-US" w:eastAsia="zh-CN"/>
        </w:rPr>
        <w:t>局</w:t>
      </w:r>
      <w:r>
        <w:rPr>
          <w:rFonts w:hint="eastAsia" w:ascii="仿宋_GB2312" w:hAnsi="仿宋_GB2312" w:eastAsia="仿宋_GB2312" w:cs="仿宋_GB2312"/>
          <w:color w:val="auto"/>
          <w:sz w:val="32"/>
          <w:szCs w:val="32"/>
          <w:highlight w:val="none"/>
        </w:rPr>
        <w:t>实际，制定本实施方案。</w:t>
      </w:r>
    </w:p>
    <w:p>
      <w:pPr>
        <w:keepNext w:val="0"/>
        <w:keepLines w:val="0"/>
        <w:pageBreakBefore w:val="0"/>
        <w:widowControl w:val="0"/>
        <w:numPr>
          <w:ilvl w:val="0"/>
          <w:numId w:val="1"/>
        </w:numPr>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目标任务</w:t>
      </w:r>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楷体_GB2312" w:cs="楷体_GB2312"/>
          <w:b w:val="0"/>
          <w:bCs w:val="0"/>
          <w:color w:val="auto"/>
          <w:sz w:val="32"/>
          <w:szCs w:val="32"/>
          <w:highlight w:val="none"/>
          <w:lang w:val="en-US" w:eastAsia="zh-CN"/>
        </w:rPr>
      </w:pPr>
      <w:r>
        <w:rPr>
          <w:rFonts w:hint="default" w:ascii="仿宋_GB2312" w:hAnsi="仿宋_GB2312" w:eastAsia="仿宋_GB2312" w:cs="仿宋_GB2312"/>
          <w:sz w:val="32"/>
          <w:szCs w:val="32"/>
          <w:lang w:val="en-US" w:eastAsia="zh-CN"/>
        </w:rPr>
        <w:t>江西省林业局</w:t>
      </w:r>
      <w:r>
        <w:rPr>
          <w:rFonts w:hint="eastAsia" w:ascii="仿宋_GB2312" w:hAnsi="仿宋_GB2312" w:eastAsia="仿宋_GB2312" w:cs="仿宋_GB2312"/>
          <w:sz w:val="32"/>
          <w:szCs w:val="32"/>
          <w:lang w:val="en-US" w:eastAsia="zh-CN"/>
        </w:rPr>
        <w:t>依据各县（市、区）集体林地面积、林业资源禀赋制定改革任务，一类县区为集体林地面积在100万亩以上，二类县区为集体林地在40万亩以上，100万亩以下，三类县区为集体林地在40万亩以下。湾里管理局集体林地面积20万亩，属于三类县区，</w:t>
      </w:r>
      <w:r>
        <w:rPr>
          <w:rFonts w:hint="default" w:ascii="仿宋_GB2312" w:hAnsi="仿宋_GB2312" w:eastAsia="仿宋_GB2312" w:cs="仿宋_GB2312"/>
          <w:color w:val="auto"/>
          <w:sz w:val="32"/>
          <w:szCs w:val="32"/>
          <w:highlight w:val="none"/>
          <w:lang w:val="en-US" w:eastAsia="zh-CN"/>
        </w:rPr>
        <w:t>重点</w:t>
      </w:r>
      <w:r>
        <w:rPr>
          <w:rFonts w:hint="default" w:ascii="仿宋_GB2312" w:hAnsi="仿宋_GB2312" w:eastAsia="仿宋_GB2312" w:cs="仿宋_GB2312"/>
          <w:sz w:val="32"/>
          <w:szCs w:val="32"/>
          <w:lang w:val="en-US" w:eastAsia="zh-CN"/>
        </w:rPr>
        <w:t>做好“3+1”</w:t>
      </w:r>
      <w:r>
        <w:rPr>
          <w:rFonts w:hint="eastAsia" w:ascii="仿宋_GB2312" w:hAnsi="仿宋_GB2312" w:eastAsia="仿宋_GB2312" w:cs="仿宋_GB2312"/>
          <w:sz w:val="32"/>
          <w:szCs w:val="32"/>
          <w:lang w:val="en-US" w:eastAsia="zh-CN"/>
        </w:rPr>
        <w:t>，即</w:t>
      </w:r>
      <w:r>
        <w:rPr>
          <w:rFonts w:hint="default" w:ascii="仿宋_GB2312" w:hAnsi="仿宋_GB2312" w:eastAsia="仿宋_GB2312" w:cs="仿宋_GB2312"/>
          <w:sz w:val="32"/>
          <w:szCs w:val="32"/>
          <w:lang w:val="en-US" w:eastAsia="zh-CN"/>
        </w:rPr>
        <w:t>“3”是指</w:t>
      </w:r>
      <w:r>
        <w:rPr>
          <w:rFonts w:hint="default" w:ascii="仿宋_GB2312" w:hAnsi="仿宋_GB2312" w:eastAsia="仿宋_GB2312" w:cs="仿宋_GB2312"/>
          <w:b w:val="0"/>
          <w:bCs w:val="0"/>
          <w:sz w:val="32"/>
          <w:szCs w:val="32"/>
          <w:lang w:val="en-US" w:eastAsia="zh-CN"/>
        </w:rPr>
        <w:t>推进林地“三权分置”、妥善解决林权登记历史遗留问题、加强林业基层基础建设三项</w:t>
      </w:r>
      <w:r>
        <w:rPr>
          <w:rFonts w:hint="eastAsia" w:ascii="仿宋_GB2312" w:hAnsi="仿宋_GB2312" w:eastAsia="仿宋_GB2312" w:cs="仿宋_GB2312"/>
          <w:b w:val="0"/>
          <w:bCs w:val="0"/>
          <w:sz w:val="32"/>
          <w:szCs w:val="32"/>
          <w:lang w:val="en-US" w:eastAsia="zh-CN"/>
        </w:rPr>
        <w:t>工</w:t>
      </w:r>
      <w:r>
        <w:rPr>
          <w:rFonts w:hint="default" w:ascii="仿宋_GB2312" w:hAnsi="仿宋_GB2312" w:eastAsia="仿宋_GB2312" w:cs="仿宋_GB2312"/>
          <w:b w:val="0"/>
          <w:bCs w:val="0"/>
          <w:sz w:val="32"/>
          <w:szCs w:val="32"/>
          <w:lang w:val="en-US" w:eastAsia="zh-CN"/>
        </w:rPr>
        <w:t>作；“1”是指：发展1项林业产业三产融合特色产业。</w:t>
      </w:r>
    </w:p>
    <w:p>
      <w:pPr>
        <w:keepNext w:val="0"/>
        <w:keepLines w:val="0"/>
        <w:pageBreakBefore w:val="0"/>
        <w:widowControl w:val="0"/>
        <w:numPr>
          <w:ilvl w:val="0"/>
          <w:numId w:val="1"/>
        </w:numPr>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重点改革任务</w:t>
      </w:r>
    </w:p>
    <w:p>
      <w:pPr>
        <w:keepNext w:val="0"/>
        <w:keepLines w:val="0"/>
        <w:pageBreakBefore w:val="0"/>
        <w:widowControl w:val="0"/>
        <w:kinsoku/>
        <w:wordWrap/>
        <w:overflowPunct w:val="0"/>
        <w:topLinePunct/>
        <w:autoSpaceDE/>
        <w:autoSpaceDN/>
        <w:bidi w:val="0"/>
        <w:adjustRightInd/>
        <w:snapToGrid/>
        <w:spacing w:line="560" w:lineRule="exact"/>
        <w:ind w:firstLine="642" w:firstLineChars="200"/>
        <w:textAlignment w:val="auto"/>
        <w:rPr>
          <w:rFonts w:hint="eastAsia" w:ascii="Times New Roman" w:hAnsi="Times New Roman" w:eastAsia="黑体" w:cs="黑体"/>
          <w:b/>
          <w:bCs/>
          <w:color w:val="auto"/>
          <w:sz w:val="32"/>
          <w:szCs w:val="32"/>
          <w:highlight w:val="none"/>
        </w:rPr>
      </w:pPr>
      <w:r>
        <w:rPr>
          <w:rFonts w:hint="eastAsia" w:ascii="Times New Roman" w:hAnsi="Times New Roman" w:eastAsia="楷体_GB2312" w:cs="楷体_GB2312"/>
          <w:b/>
          <w:bCs/>
          <w:color w:val="auto"/>
          <w:sz w:val="32"/>
          <w:szCs w:val="32"/>
          <w:highlight w:val="none"/>
          <w:lang w:eastAsia="zh-CN"/>
        </w:rPr>
        <w:t>（</w:t>
      </w:r>
      <w:r>
        <w:rPr>
          <w:rFonts w:hint="eastAsia" w:ascii="Times New Roman" w:hAnsi="Times New Roman" w:eastAsia="楷体_GB2312" w:cs="楷体_GB2312"/>
          <w:b/>
          <w:bCs/>
          <w:color w:val="auto"/>
          <w:sz w:val="32"/>
          <w:szCs w:val="32"/>
          <w:highlight w:val="none"/>
          <w:lang w:val="en-US" w:eastAsia="zh-CN"/>
        </w:rPr>
        <w:t>一</w:t>
      </w:r>
      <w:r>
        <w:rPr>
          <w:rFonts w:hint="eastAsia" w:ascii="Times New Roman" w:hAnsi="Times New Roman" w:eastAsia="楷体_GB2312" w:cs="楷体_GB2312"/>
          <w:b/>
          <w:bCs/>
          <w:color w:val="auto"/>
          <w:sz w:val="32"/>
          <w:szCs w:val="32"/>
          <w:highlight w:val="none"/>
          <w:lang w:eastAsia="zh-CN"/>
        </w:rPr>
        <w:t>）</w:t>
      </w:r>
      <w:r>
        <w:rPr>
          <w:rFonts w:hint="eastAsia" w:ascii="Times New Roman" w:hAnsi="Times New Roman" w:eastAsia="楷体_GB2312" w:cs="楷体_GB2312"/>
          <w:b/>
          <w:bCs/>
          <w:color w:val="auto"/>
          <w:sz w:val="32"/>
          <w:szCs w:val="32"/>
          <w:highlight w:val="none"/>
        </w:rPr>
        <w:t>深化集体林地所有权、承包权、经营权“三权分置”</w:t>
      </w:r>
    </w:p>
    <w:p>
      <w:pPr>
        <w:keepNext w:val="0"/>
        <w:keepLines w:val="0"/>
        <w:pageBreakBefore w:val="0"/>
        <w:widowControl w:val="0"/>
        <w:kinsoku/>
        <w:wordWrap/>
        <w:overflowPunct w:val="0"/>
        <w:topLinePunct/>
        <w:autoSpaceDE/>
        <w:autoSpaceDN/>
        <w:bidi w:val="0"/>
        <w:adjustRightInd/>
        <w:snapToGrid/>
        <w:spacing w:line="560" w:lineRule="exact"/>
        <w:ind w:firstLine="642" w:firstLineChars="200"/>
        <w:textAlignment w:val="auto"/>
        <w:rPr>
          <w:rFonts w:hint="eastAsia" w:ascii="黑体" w:hAnsi="黑体" w:eastAsia="黑体" w:cs="黑体"/>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规范集体林地承包经营</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一是落实所有权。</w:t>
      </w:r>
      <w:r>
        <w:rPr>
          <w:rFonts w:hint="eastAsia" w:ascii="仿宋_GB2312" w:hAnsi="仿宋_GB2312" w:eastAsia="仿宋_GB2312" w:cs="仿宋_GB2312"/>
          <w:color w:val="auto"/>
          <w:sz w:val="32"/>
          <w:szCs w:val="32"/>
          <w:highlight w:val="none"/>
          <w:lang w:val="en-US" w:eastAsia="zh-CN"/>
        </w:rPr>
        <w:t>坚持农村林地集体所有制不动摇。</w:t>
      </w:r>
      <w:r>
        <w:rPr>
          <w:rFonts w:hint="eastAsia" w:ascii="仿宋_GB2312" w:hAnsi="仿宋_GB2312" w:eastAsia="仿宋_GB2312" w:cs="仿宋_GB2312"/>
          <w:b/>
          <w:bCs/>
          <w:color w:val="auto"/>
          <w:sz w:val="32"/>
          <w:szCs w:val="32"/>
          <w:highlight w:val="none"/>
          <w:lang w:val="en-US" w:eastAsia="zh-CN"/>
        </w:rPr>
        <w:t>二是稳定承包权。</w:t>
      </w:r>
      <w:r>
        <w:rPr>
          <w:rFonts w:hint="eastAsia" w:ascii="仿宋_GB2312" w:hAnsi="仿宋_GB2312" w:eastAsia="仿宋_GB2312" w:cs="仿宋_GB2312"/>
          <w:color w:val="auto"/>
          <w:sz w:val="32"/>
          <w:szCs w:val="32"/>
          <w:highlight w:val="none"/>
          <w:lang w:val="en-US" w:eastAsia="zh-CN"/>
        </w:rPr>
        <w:t>保持集体林地承包关系稳定并长久不变，承包期届满时应坚持延包原则，不得打乱重分，确保绝大多数农户原有承包林地稳定经营。家庭承包林地剩余期限10年以内的，发包方可依法提前确认延包合同。林地承包合同生效后，不得以未登记颁证为由解除承包关系。保障进城落户农民合法林地权益。林地承包人在承包期内自愿退出或死亡无合法继承人的，承包林地由集体经济组织收回。保持林权宗地的完整性，家庭成员分户原则上不再细分宗地。</w:t>
      </w:r>
      <w:r>
        <w:rPr>
          <w:rFonts w:hint="eastAsia" w:ascii="仿宋_GB2312" w:hAnsi="仿宋_GB2312" w:eastAsia="仿宋_GB2312" w:cs="仿宋_GB2312"/>
          <w:b/>
          <w:bCs/>
          <w:color w:val="auto"/>
          <w:sz w:val="32"/>
          <w:szCs w:val="32"/>
          <w:highlight w:val="none"/>
          <w:lang w:val="en-US" w:eastAsia="zh-CN"/>
        </w:rPr>
        <w:t>三是放活经营权。</w:t>
      </w:r>
      <w:r>
        <w:rPr>
          <w:rFonts w:hint="eastAsia" w:ascii="仿宋_GB2312" w:hAnsi="仿宋_GB2312" w:eastAsia="仿宋_GB2312" w:cs="仿宋_GB2312"/>
          <w:color w:val="auto"/>
          <w:sz w:val="32"/>
          <w:szCs w:val="32"/>
          <w:highlight w:val="none"/>
          <w:lang w:val="en-US" w:eastAsia="zh-CN"/>
        </w:rPr>
        <w:t>积极引导林权规范流转，推广使用承包、流转合同示范文本，完善合同档案管理，保障经营权人合法权益，任何单位和个人不得禁止或限制经营权人依法开展经营活动。林地经营权可依法向不动产登记机构申请登记发证，可依法再流转或向金融机构融资担保，可以作为申报林业项目、申请林木采伐及其他有关行政管理事项的凭证。林地经营权合同终止时，要保障林地经营权人的林木财产权益，鼓励林地受让方以公允价格受让林木。</w:t>
      </w:r>
      <w:r>
        <w:rPr>
          <w:rFonts w:hint="eastAsia" w:ascii="黑体" w:hAnsi="黑体" w:eastAsia="黑体" w:cs="黑体"/>
          <w:b w:val="0"/>
          <w:bCs w:val="0"/>
          <w:color w:val="auto"/>
          <w:sz w:val="32"/>
          <w:szCs w:val="32"/>
          <w:highlight w:val="none"/>
          <w:lang w:eastAsia="zh-CN"/>
        </w:rPr>
        <w:t>（</w:t>
      </w:r>
      <w:r>
        <w:rPr>
          <w:rFonts w:hint="eastAsia" w:ascii="黑体" w:hAnsi="黑体" w:eastAsia="黑体" w:cs="黑体"/>
          <w:b w:val="0"/>
          <w:bCs w:val="0"/>
          <w:color w:val="auto"/>
          <w:sz w:val="32"/>
          <w:szCs w:val="32"/>
          <w:highlight w:val="none"/>
        </w:rPr>
        <w:t>责任单位：</w:t>
      </w:r>
      <w:r>
        <w:rPr>
          <w:rFonts w:hint="eastAsia" w:ascii="黑体" w:hAnsi="黑体" w:eastAsia="黑体" w:cs="黑体"/>
          <w:b w:val="0"/>
          <w:bCs w:val="0"/>
          <w:color w:val="auto"/>
          <w:sz w:val="32"/>
          <w:szCs w:val="32"/>
          <w:highlight w:val="none"/>
          <w:lang w:val="en-US" w:eastAsia="zh-CN"/>
        </w:rPr>
        <w:t>局农林办，市自规局湾里分局、各镇、洗药湖管理处</w:t>
      </w:r>
      <w:r>
        <w:rPr>
          <w:rFonts w:hint="eastAsia" w:ascii="黑体" w:hAnsi="黑体" w:eastAsia="黑体" w:cs="黑体"/>
          <w:b w:val="0"/>
          <w:bCs w:val="0"/>
          <w:color w:val="auto"/>
          <w:sz w:val="32"/>
          <w:szCs w:val="32"/>
          <w:highlight w:val="none"/>
        </w:rPr>
        <w:t>，</w:t>
      </w:r>
      <w:r>
        <w:rPr>
          <w:rFonts w:hint="eastAsia" w:ascii="黑体" w:hAnsi="黑体" w:eastAsia="黑体" w:cs="黑体"/>
          <w:b w:val="0"/>
          <w:bCs w:val="0"/>
          <w:color w:val="auto"/>
          <w:sz w:val="32"/>
          <w:szCs w:val="32"/>
          <w:highlight w:val="none"/>
          <w:lang w:val="en-US" w:eastAsia="zh-CN"/>
        </w:rPr>
        <w:t>2025年底前完成</w:t>
      </w:r>
      <w:r>
        <w:rPr>
          <w:rFonts w:hint="eastAsia" w:ascii="黑体" w:hAnsi="黑体" w:eastAsia="黑体" w:cs="黑体"/>
          <w:b w:val="0"/>
          <w:bCs w:val="0"/>
          <w:color w:val="auto"/>
          <w:sz w:val="32"/>
          <w:szCs w:val="32"/>
          <w:highlight w:val="none"/>
          <w:lang w:eastAsia="zh-CN"/>
        </w:rPr>
        <w:t>）</w:t>
      </w:r>
    </w:p>
    <w:p>
      <w:pPr>
        <w:keepNext w:val="0"/>
        <w:keepLines w:val="0"/>
        <w:pageBreakBefore w:val="0"/>
        <w:widowControl w:val="0"/>
        <w:kinsoku/>
        <w:wordWrap/>
        <w:autoSpaceDE w:val="0"/>
        <w:autoSpaceDN w:val="0"/>
        <w:bidi w:val="0"/>
        <w:adjustRightInd/>
        <w:snapToGrid/>
        <w:spacing w:before="0" w:after="0" w:line="560" w:lineRule="exact"/>
        <w:ind w:right="0" w:firstLine="642" w:firstLineChars="200"/>
        <w:jc w:val="both"/>
        <w:textAlignment w:val="auto"/>
        <w:rPr>
          <w:rFonts w:hint="eastAsia" w:ascii="黑体" w:hAnsi="黑体" w:eastAsia="黑体" w:cs="黑体"/>
          <w:color w:val="auto"/>
          <w:sz w:val="32"/>
          <w:szCs w:val="32"/>
          <w:highlight w:val="none"/>
        </w:rPr>
      </w:pPr>
      <w:r>
        <w:rPr>
          <w:rFonts w:hint="eastAsia" w:ascii="仿宋_GB2312" w:hAnsi="仿宋_GB2312" w:eastAsia="仿宋_GB2312" w:cs="仿宋_GB2312"/>
          <w:b/>
          <w:bCs w:val="0"/>
          <w:i w:val="0"/>
          <w:strike w:val="0"/>
          <w:color w:val="000000"/>
          <w:sz w:val="32"/>
          <w:szCs w:val="32"/>
          <w:lang w:val="en-US" w:eastAsia="zh-CN"/>
        </w:rPr>
        <w:t>2.</w:t>
      </w:r>
      <w:r>
        <w:rPr>
          <w:rFonts w:hint="eastAsia" w:ascii="仿宋_GB2312" w:hAnsi="仿宋_GB2312" w:eastAsia="仿宋_GB2312" w:cs="仿宋_GB2312"/>
          <w:b/>
          <w:bCs w:val="0"/>
          <w:i w:val="0"/>
          <w:strike w:val="0"/>
          <w:color w:val="000000"/>
          <w:sz w:val="32"/>
          <w:szCs w:val="32"/>
        </w:rPr>
        <w:t>推进林权流转</w:t>
      </w:r>
      <w:r>
        <w:rPr>
          <w:rFonts w:hint="eastAsia" w:ascii="仿宋_GB2312" w:hAnsi="仿宋_GB2312" w:eastAsia="仿宋_GB2312" w:cs="仿宋_GB2312"/>
          <w:b/>
          <w:bCs w:val="0"/>
          <w:i w:val="0"/>
          <w:strike w:val="0"/>
          <w:color w:val="000000"/>
          <w:sz w:val="32"/>
          <w:szCs w:val="32"/>
          <w:lang w:eastAsia="zh-CN"/>
        </w:rPr>
        <w:t>。</w:t>
      </w:r>
      <w:r>
        <w:rPr>
          <w:rFonts w:hint="eastAsia" w:ascii="仿宋_GB2312" w:hAnsi="仿宋_GB2312" w:eastAsia="仿宋_GB2312" w:cs="仿宋_GB2312"/>
          <w:b/>
          <w:bCs w:val="0"/>
          <w:i w:val="0"/>
          <w:strike w:val="0"/>
          <w:color w:val="000000"/>
          <w:sz w:val="32"/>
          <w:szCs w:val="32"/>
        </w:rPr>
        <w:t>一是引导以出租、入股、托管、互换等市场化方式流转林地经营权。</w:t>
      </w:r>
      <w:r>
        <w:rPr>
          <w:rFonts w:hint="eastAsia" w:ascii="仿宋_GB2312" w:hAnsi="仿宋_GB2312" w:eastAsia="仿宋_GB2312" w:cs="仿宋_GB2312"/>
          <w:b w:val="0"/>
          <w:bCs/>
          <w:i w:val="0"/>
          <w:strike w:val="0"/>
          <w:color w:val="000000"/>
          <w:sz w:val="32"/>
          <w:szCs w:val="32"/>
        </w:rPr>
        <w:t>建立社会资本投资林权的渠道。鼓励工商企业、林业经营联合体、经营大户等社会资本参与林权流转；</w:t>
      </w:r>
      <w:r>
        <w:rPr>
          <w:rFonts w:hint="eastAsia" w:ascii="仿宋_GB2312" w:hAnsi="仿宋_GB2312" w:eastAsia="仿宋_GB2312" w:cs="仿宋_GB2312"/>
          <w:b/>
          <w:bCs w:val="0"/>
          <w:i w:val="0"/>
          <w:strike w:val="0"/>
          <w:color w:val="000000"/>
          <w:sz w:val="32"/>
          <w:szCs w:val="32"/>
        </w:rPr>
        <w:t>二是鼓励村集体经济组织集中流转农户林地经营权</w:t>
      </w:r>
      <w:r>
        <w:rPr>
          <w:rFonts w:hint="eastAsia" w:ascii="仿宋_GB2312" w:hAnsi="仿宋_GB2312" w:eastAsia="仿宋_GB2312" w:cs="仿宋_GB2312"/>
          <w:b/>
          <w:bCs w:val="0"/>
          <w:i w:val="0"/>
          <w:strike w:val="0"/>
          <w:color w:val="000000"/>
          <w:sz w:val="32"/>
          <w:szCs w:val="32"/>
          <w:lang w:eastAsia="zh-CN"/>
        </w:rPr>
        <w:t>。</w:t>
      </w:r>
      <w:r>
        <w:rPr>
          <w:rFonts w:hint="eastAsia" w:ascii="仿宋_GB2312" w:hAnsi="仿宋_GB2312" w:eastAsia="仿宋_GB2312" w:cs="仿宋_GB2312"/>
          <w:b w:val="0"/>
          <w:bCs/>
          <w:i w:val="0"/>
          <w:strike w:val="0"/>
          <w:color w:val="000000"/>
          <w:sz w:val="32"/>
          <w:szCs w:val="32"/>
        </w:rPr>
        <w:t>通过托管经营、再发包、再出租等方式，增加集体经营性收入。</w:t>
      </w:r>
      <w:r>
        <w:rPr>
          <w:rFonts w:hint="eastAsia" w:ascii="仿宋_GB2312" w:hAnsi="仿宋_GB2312" w:eastAsia="仿宋_GB2312" w:cs="仿宋_GB2312"/>
          <w:b/>
          <w:bCs w:val="0"/>
          <w:i w:val="0"/>
          <w:strike w:val="0"/>
          <w:color w:val="000000"/>
          <w:sz w:val="32"/>
          <w:szCs w:val="32"/>
        </w:rPr>
        <w:t>三是采取政府引导、社会参与、市场运作模式组建林权收储机构，收储分散林权</w:t>
      </w:r>
      <w:r>
        <w:rPr>
          <w:rFonts w:hint="eastAsia" w:ascii="仿宋_GB2312" w:hAnsi="仿宋_GB2312" w:eastAsia="仿宋_GB2312" w:cs="仿宋_GB2312"/>
          <w:b/>
          <w:bCs w:val="0"/>
          <w:i w:val="0"/>
          <w:strike w:val="0"/>
          <w:color w:val="000000"/>
          <w:sz w:val="32"/>
          <w:szCs w:val="32"/>
          <w:lang w:eastAsia="zh-CN"/>
        </w:rPr>
        <w:t>。</w:t>
      </w:r>
      <w:r>
        <w:rPr>
          <w:rFonts w:hint="eastAsia" w:ascii="仿宋_GB2312" w:hAnsi="仿宋_GB2312" w:eastAsia="仿宋_GB2312" w:cs="仿宋_GB2312"/>
          <w:b w:val="0"/>
          <w:bCs/>
          <w:i w:val="0"/>
          <w:strike w:val="0"/>
          <w:color w:val="000000"/>
          <w:sz w:val="32"/>
          <w:szCs w:val="32"/>
        </w:rPr>
        <w:t>实行“收储+经营+融资+再收储+再经营+再融资”循环滚动的运作方式，对收储的林地林木资源进行有效经营，促进集体林良性发展。支持林权收储机构筹措林权收储资金、设立林权担保保证金</w:t>
      </w:r>
      <w:r>
        <w:rPr>
          <w:rFonts w:hint="eastAsia" w:ascii="仿宋_GB2312" w:hAnsi="仿宋_GB2312" w:eastAsia="仿宋_GB2312" w:cs="仿宋_GB2312"/>
          <w:b w:val="0"/>
          <w:bCs/>
          <w:i w:val="0"/>
          <w:strike w:val="0"/>
          <w:color w:val="000000"/>
          <w:sz w:val="32"/>
          <w:szCs w:val="32"/>
          <w:lang w:eastAsia="zh-CN"/>
        </w:rPr>
        <w:t>。</w:t>
      </w:r>
      <w:r>
        <w:rPr>
          <w:rFonts w:hint="eastAsia" w:ascii="仿宋_GB2312" w:hAnsi="仿宋_GB2312" w:eastAsia="仿宋_GB2312" w:cs="仿宋_GB2312"/>
          <w:b w:val="0"/>
          <w:bCs/>
          <w:i w:val="0"/>
          <w:strike w:val="0"/>
          <w:color w:val="000000"/>
          <w:sz w:val="32"/>
          <w:szCs w:val="32"/>
        </w:rPr>
        <w:t>鼓励金融机构与林权收储机构合作开展林权收储担保贷款服务。</w:t>
      </w:r>
      <w:r>
        <w:rPr>
          <w:rFonts w:hint="eastAsia" w:ascii="仿宋_GB2312" w:hAnsi="仿宋_GB2312" w:eastAsia="仿宋_GB2312" w:cs="仿宋_GB2312"/>
          <w:b/>
          <w:bCs w:val="0"/>
          <w:i w:val="0"/>
          <w:strike w:val="0"/>
          <w:color w:val="000000"/>
          <w:sz w:val="32"/>
          <w:szCs w:val="32"/>
        </w:rPr>
        <w:t>四是推进林权数字化建设</w:t>
      </w:r>
      <w:r>
        <w:rPr>
          <w:rFonts w:hint="eastAsia" w:ascii="仿宋_GB2312" w:hAnsi="仿宋_GB2312" w:eastAsia="仿宋_GB2312" w:cs="仿宋_GB2312"/>
          <w:b/>
          <w:bCs w:val="0"/>
          <w:i w:val="0"/>
          <w:strike w:val="0"/>
          <w:color w:val="000000"/>
          <w:sz w:val="32"/>
          <w:szCs w:val="32"/>
          <w:lang w:eastAsia="zh-CN"/>
        </w:rPr>
        <w:t>。</w:t>
      </w:r>
      <w:r>
        <w:rPr>
          <w:rFonts w:hint="eastAsia" w:ascii="仿宋_GB2312" w:hAnsi="仿宋_GB2312" w:eastAsia="仿宋_GB2312" w:cs="仿宋_GB2312"/>
          <w:b w:val="0"/>
          <w:bCs/>
          <w:i w:val="0"/>
          <w:strike w:val="0"/>
          <w:color w:val="000000"/>
          <w:sz w:val="32"/>
          <w:szCs w:val="32"/>
        </w:rPr>
        <w:t>将林地承包经营合同信息录入林权综合监管系统，为林权流转提供信息查验。</w:t>
      </w:r>
      <w:r>
        <w:rPr>
          <w:rFonts w:hint="eastAsia" w:ascii="仿宋_GB2312" w:hAnsi="仿宋_GB2312" w:eastAsia="仿宋_GB2312" w:cs="仿宋_GB2312"/>
          <w:b/>
          <w:bCs w:val="0"/>
          <w:i w:val="0"/>
          <w:strike w:val="0"/>
          <w:color w:val="000000"/>
          <w:sz w:val="32"/>
          <w:szCs w:val="32"/>
        </w:rPr>
        <w:t>五是建立集体林权流转管理制度，</w:t>
      </w:r>
      <w:r>
        <w:rPr>
          <w:rFonts w:hint="eastAsia" w:ascii="仿宋_GB2312" w:hAnsi="仿宋_GB2312" w:eastAsia="仿宋_GB2312" w:cs="仿宋_GB2312"/>
          <w:b w:val="0"/>
          <w:bCs/>
          <w:i w:val="0"/>
          <w:strike w:val="0"/>
          <w:color w:val="000000"/>
          <w:sz w:val="32"/>
          <w:szCs w:val="32"/>
          <w:lang w:eastAsia="zh-CN"/>
        </w:rPr>
        <w:t>局农林办</w:t>
      </w:r>
      <w:r>
        <w:rPr>
          <w:rFonts w:hint="eastAsia" w:ascii="仿宋_GB2312" w:hAnsi="仿宋_GB2312" w:eastAsia="仿宋_GB2312" w:cs="仿宋_GB2312"/>
          <w:b w:val="0"/>
          <w:bCs/>
          <w:i w:val="0"/>
          <w:strike w:val="0"/>
          <w:color w:val="000000"/>
          <w:sz w:val="32"/>
          <w:szCs w:val="32"/>
        </w:rPr>
        <w:t>加强对林权流转的审核和服务。</w:t>
      </w:r>
      <w:r>
        <w:rPr>
          <w:rFonts w:hint="eastAsia" w:ascii="黑体" w:hAnsi="黑体" w:eastAsia="黑体" w:cs="黑体"/>
          <w:color w:val="auto"/>
          <w:sz w:val="32"/>
          <w:szCs w:val="32"/>
          <w:highlight w:val="none"/>
        </w:rPr>
        <w:t>(责任单位：</w:t>
      </w:r>
      <w:r>
        <w:rPr>
          <w:rFonts w:hint="eastAsia" w:ascii="黑体" w:hAnsi="黑体" w:eastAsia="黑体" w:cs="黑体"/>
          <w:color w:val="auto"/>
          <w:sz w:val="32"/>
          <w:szCs w:val="32"/>
          <w:highlight w:val="none"/>
          <w:lang w:val="en-US" w:eastAsia="zh-CN"/>
        </w:rPr>
        <w:t>局农林办</w:t>
      </w:r>
      <w:r>
        <w:rPr>
          <w:rFonts w:hint="eastAsia" w:ascii="黑体" w:hAnsi="黑体" w:eastAsia="黑体" w:cs="黑体"/>
          <w:color w:val="auto"/>
          <w:sz w:val="32"/>
          <w:szCs w:val="32"/>
          <w:highlight w:val="none"/>
          <w:lang w:eastAsia="zh-CN"/>
        </w:rPr>
        <w:t>，</w:t>
      </w:r>
      <w:r>
        <w:rPr>
          <w:rFonts w:hint="eastAsia" w:ascii="黑体" w:hAnsi="黑体" w:eastAsia="黑体" w:cs="黑体"/>
          <w:color w:val="auto"/>
          <w:sz w:val="32"/>
          <w:szCs w:val="32"/>
          <w:highlight w:val="none"/>
          <w:lang w:val="en-US" w:eastAsia="zh-CN"/>
        </w:rPr>
        <w:t>市自规局湾里分局</w:t>
      </w:r>
      <w:r>
        <w:rPr>
          <w:rFonts w:hint="eastAsia" w:ascii="黑体" w:hAnsi="黑体" w:eastAsia="黑体" w:cs="黑体"/>
          <w:color w:val="auto"/>
          <w:sz w:val="32"/>
          <w:szCs w:val="32"/>
          <w:highlight w:val="none"/>
          <w:lang w:eastAsia="zh-CN"/>
        </w:rPr>
        <w:t>、</w:t>
      </w:r>
      <w:r>
        <w:rPr>
          <w:rFonts w:hint="eastAsia" w:ascii="黑体" w:hAnsi="黑体" w:eastAsia="黑体" w:cs="黑体"/>
          <w:color w:val="auto"/>
          <w:sz w:val="32"/>
          <w:szCs w:val="32"/>
          <w:highlight w:val="none"/>
          <w:lang w:val="en-US" w:eastAsia="zh-CN"/>
        </w:rPr>
        <w:t>各镇、洗药湖管理处</w:t>
      </w:r>
      <w:r>
        <w:rPr>
          <w:rFonts w:hint="eastAsia" w:ascii="黑体" w:hAnsi="黑体" w:eastAsia="黑体" w:cs="黑体"/>
          <w:color w:val="auto"/>
          <w:sz w:val="32"/>
          <w:szCs w:val="32"/>
          <w:highlight w:val="none"/>
        </w:rPr>
        <w:t>，2025年底前完成)</w:t>
      </w:r>
    </w:p>
    <w:p>
      <w:pPr>
        <w:keepNext w:val="0"/>
        <w:keepLines w:val="0"/>
        <w:pageBreakBefore w:val="0"/>
        <w:widowControl w:val="0"/>
        <w:kinsoku/>
        <w:wordWrap/>
        <w:overflowPunct w:val="0"/>
        <w:topLinePunct/>
        <w:autoSpaceDE/>
        <w:autoSpaceDN/>
        <w:bidi w:val="0"/>
        <w:adjustRightInd/>
        <w:snapToGrid/>
        <w:spacing w:line="560" w:lineRule="exact"/>
        <w:ind w:firstLine="642" w:firstLineChars="200"/>
        <w:textAlignment w:val="auto"/>
        <w:rPr>
          <w:rFonts w:hint="eastAsia" w:ascii="Times New Roman" w:hAnsi="Times New Roman" w:eastAsia="楷体_GB2312" w:cs="楷体_GB2312"/>
          <w:b/>
          <w:bCs/>
          <w:color w:val="auto"/>
          <w:sz w:val="32"/>
          <w:szCs w:val="32"/>
          <w:highlight w:val="none"/>
        </w:rPr>
      </w:pPr>
      <w:r>
        <w:rPr>
          <w:rFonts w:hint="eastAsia" w:ascii="Times New Roman" w:hAnsi="Times New Roman" w:eastAsia="楷体_GB2312" w:cs="楷体_GB2312"/>
          <w:b/>
          <w:bCs/>
          <w:color w:val="auto"/>
          <w:sz w:val="32"/>
          <w:szCs w:val="32"/>
          <w:highlight w:val="none"/>
        </w:rPr>
        <w:t>(二) 激活集体林发展潜力</w:t>
      </w:r>
    </w:p>
    <w:p>
      <w:pPr>
        <w:keepNext w:val="0"/>
        <w:keepLines w:val="0"/>
        <w:pageBreakBefore w:val="0"/>
        <w:widowControl w:val="0"/>
        <w:kinsoku/>
        <w:wordWrap/>
        <w:autoSpaceDE w:val="0"/>
        <w:autoSpaceDN w:val="0"/>
        <w:bidi w:val="0"/>
        <w:adjustRightInd/>
        <w:snapToGrid/>
        <w:spacing w:before="100" w:after="0" w:line="560" w:lineRule="exact"/>
        <w:ind w:right="0" w:firstLine="642" w:firstLineChars="200"/>
        <w:jc w:val="both"/>
        <w:textAlignment w:val="auto"/>
        <w:rPr>
          <w:rFonts w:hint="eastAsia" w:ascii="黑体" w:hAnsi="黑体" w:eastAsia="黑体" w:cs="黑体"/>
          <w:b w:val="0"/>
          <w:bCs/>
          <w:i w:val="0"/>
          <w:strike w:val="0"/>
          <w:color w:val="000000"/>
          <w:sz w:val="32"/>
          <w:szCs w:val="32"/>
          <w:lang w:val="en-US" w:eastAsia="zh-CN"/>
        </w:rPr>
      </w:pPr>
      <w:r>
        <w:rPr>
          <w:rFonts w:hint="eastAsia" w:ascii="仿宋_GB2312" w:hAnsi="仿宋_GB2312" w:eastAsia="仿宋_GB2312" w:cs="仿宋_GB2312"/>
          <w:b/>
          <w:bCs w:val="0"/>
          <w:i w:val="0"/>
          <w:strike w:val="0"/>
          <w:color w:val="000000"/>
          <w:sz w:val="32"/>
          <w:szCs w:val="32"/>
          <w:lang w:val="en-US" w:eastAsia="zh-CN"/>
        </w:rPr>
        <w:t>3.发展林业适度规模经营。</w:t>
      </w:r>
      <w:r>
        <w:rPr>
          <w:rFonts w:hint="eastAsia" w:ascii="仿宋_GB2312" w:hAnsi="仿宋_GB2312" w:eastAsia="仿宋_GB2312" w:cs="仿宋_GB2312"/>
          <w:b w:val="0"/>
          <w:bCs/>
          <w:i w:val="0"/>
          <w:strike w:val="0"/>
          <w:color w:val="000000"/>
          <w:sz w:val="32"/>
          <w:szCs w:val="32"/>
          <w:lang w:val="en-US" w:eastAsia="zh-CN"/>
        </w:rPr>
        <w:t>高效整合碎片化林地资源，推动南昌梅岭农林投资公司整合利用闲置林地资源发展林下经济，鼓励家庭联合经营、农户委托经营、“企业+基地+农户”联结经营等模式，组建林业合作社、家庭林场或民营林场。利用林下土地资源和林荫优势发展林下经济，促进林地立体复合生产经营，切实加强油茶、毛竹、林药、林禽等重要初级林产品供给能力建设。采取改善生产经营条件、提供生产性服务等措施培育林业规模经营主体。</w:t>
      </w:r>
      <w:r>
        <w:rPr>
          <w:rFonts w:hint="eastAsia" w:ascii="黑体" w:hAnsi="黑体" w:eastAsia="黑体" w:cs="黑体"/>
          <w:color w:val="auto"/>
          <w:sz w:val="32"/>
          <w:szCs w:val="32"/>
          <w:highlight w:val="none"/>
        </w:rPr>
        <w:t>(责任单位：</w:t>
      </w:r>
      <w:r>
        <w:rPr>
          <w:rFonts w:hint="eastAsia" w:ascii="黑体" w:hAnsi="黑体" w:eastAsia="黑体" w:cs="黑体"/>
          <w:color w:val="auto"/>
          <w:sz w:val="32"/>
          <w:szCs w:val="32"/>
          <w:highlight w:val="none"/>
          <w:lang w:val="en-US" w:eastAsia="zh-CN"/>
        </w:rPr>
        <w:t>局农林办</w:t>
      </w:r>
      <w:r>
        <w:rPr>
          <w:rFonts w:hint="eastAsia" w:ascii="黑体" w:hAnsi="黑体" w:eastAsia="黑体" w:cs="黑体"/>
          <w:color w:val="auto"/>
          <w:sz w:val="32"/>
          <w:szCs w:val="32"/>
          <w:highlight w:val="none"/>
          <w:lang w:eastAsia="zh-CN"/>
        </w:rPr>
        <w:t>，</w:t>
      </w:r>
      <w:r>
        <w:rPr>
          <w:rFonts w:hint="eastAsia" w:ascii="黑体" w:hAnsi="黑体" w:eastAsia="黑体" w:cs="黑体"/>
          <w:color w:val="auto"/>
          <w:sz w:val="32"/>
          <w:szCs w:val="32"/>
          <w:highlight w:val="none"/>
          <w:lang w:val="en-US" w:eastAsia="zh-CN"/>
        </w:rPr>
        <w:t>市自规局湾里分局</w:t>
      </w:r>
      <w:r>
        <w:rPr>
          <w:rFonts w:hint="eastAsia" w:ascii="黑体" w:hAnsi="黑体" w:eastAsia="黑体" w:cs="黑体"/>
          <w:color w:val="auto"/>
          <w:sz w:val="32"/>
          <w:szCs w:val="32"/>
          <w:highlight w:val="none"/>
          <w:lang w:eastAsia="zh-CN"/>
        </w:rPr>
        <w:t>、</w:t>
      </w:r>
      <w:r>
        <w:rPr>
          <w:rFonts w:hint="eastAsia" w:ascii="黑体" w:hAnsi="黑体" w:eastAsia="黑体" w:cs="黑体"/>
          <w:color w:val="auto"/>
          <w:sz w:val="32"/>
          <w:szCs w:val="32"/>
          <w:highlight w:val="none"/>
          <w:lang w:val="en-US" w:eastAsia="zh-CN"/>
        </w:rPr>
        <w:t>各镇、洗药湖管理处</w:t>
      </w:r>
      <w:r>
        <w:rPr>
          <w:rFonts w:hint="eastAsia" w:ascii="黑体" w:hAnsi="黑体" w:eastAsia="黑体" w:cs="黑体"/>
          <w:color w:val="auto"/>
          <w:sz w:val="32"/>
          <w:szCs w:val="32"/>
          <w:highlight w:val="none"/>
        </w:rPr>
        <w:t>，2025年底前完成)</w:t>
      </w:r>
    </w:p>
    <w:p>
      <w:pPr>
        <w:keepNext w:val="0"/>
        <w:keepLines w:val="0"/>
        <w:pageBreakBefore w:val="0"/>
        <w:widowControl w:val="0"/>
        <w:kinsoku/>
        <w:wordWrap/>
        <w:overflowPunct w:val="0"/>
        <w:topLinePunct/>
        <w:autoSpaceDE/>
        <w:autoSpaceDN/>
        <w:bidi w:val="0"/>
        <w:adjustRightInd/>
        <w:snapToGrid/>
        <w:spacing w:line="560" w:lineRule="exact"/>
        <w:ind w:firstLine="642" w:firstLineChars="200"/>
        <w:textAlignment w:val="auto"/>
        <w:rPr>
          <w:rFonts w:hint="default" w:ascii="Times New Roman" w:hAnsi="Times New Roman" w:eastAsia="楷体_GB2312" w:cs="楷体_GB2312"/>
          <w:b/>
          <w:bCs/>
          <w:color w:val="auto"/>
          <w:sz w:val="32"/>
          <w:szCs w:val="32"/>
          <w:highlight w:val="none"/>
          <w:lang w:val="en-US" w:eastAsia="zh-CN"/>
        </w:rPr>
      </w:pPr>
      <w:r>
        <w:rPr>
          <w:rFonts w:hint="eastAsia" w:ascii="Times New Roman" w:hAnsi="Times New Roman" w:eastAsia="楷体_GB2312" w:cs="楷体_GB2312"/>
          <w:b/>
          <w:bCs/>
          <w:color w:val="auto"/>
          <w:sz w:val="32"/>
          <w:szCs w:val="32"/>
          <w:highlight w:val="none"/>
        </w:rPr>
        <w:t>(</w:t>
      </w:r>
      <w:r>
        <w:rPr>
          <w:rFonts w:hint="eastAsia" w:ascii="Times New Roman" w:hAnsi="Times New Roman" w:eastAsia="楷体_GB2312" w:cs="楷体_GB2312"/>
          <w:b/>
          <w:bCs/>
          <w:color w:val="auto"/>
          <w:sz w:val="32"/>
          <w:szCs w:val="32"/>
          <w:highlight w:val="none"/>
          <w:lang w:val="en-US" w:eastAsia="zh-CN"/>
        </w:rPr>
        <w:t>三</w:t>
      </w:r>
      <w:r>
        <w:rPr>
          <w:rFonts w:hint="eastAsia" w:ascii="Times New Roman" w:hAnsi="Times New Roman" w:eastAsia="楷体_GB2312" w:cs="楷体_GB2312"/>
          <w:b/>
          <w:bCs/>
          <w:color w:val="auto"/>
          <w:sz w:val="32"/>
          <w:szCs w:val="32"/>
          <w:highlight w:val="none"/>
        </w:rPr>
        <w:t xml:space="preserve">) </w:t>
      </w:r>
      <w:r>
        <w:rPr>
          <w:rFonts w:hint="eastAsia" w:ascii="Times New Roman" w:hAnsi="Times New Roman" w:eastAsia="楷体_GB2312" w:cs="楷体_GB2312"/>
          <w:b/>
          <w:bCs/>
          <w:color w:val="auto"/>
          <w:sz w:val="32"/>
          <w:szCs w:val="32"/>
          <w:highlight w:val="none"/>
          <w:lang w:val="en-US" w:eastAsia="zh-CN"/>
        </w:rPr>
        <w:t>发展现代林业产业</w:t>
      </w:r>
    </w:p>
    <w:p>
      <w:pPr>
        <w:keepNext w:val="0"/>
        <w:keepLines w:val="0"/>
        <w:pageBreakBefore w:val="0"/>
        <w:widowControl w:val="0"/>
        <w:kinsoku/>
        <w:wordWrap/>
        <w:autoSpaceDE w:val="0"/>
        <w:autoSpaceDN w:val="0"/>
        <w:bidi w:val="0"/>
        <w:adjustRightInd/>
        <w:snapToGrid/>
        <w:spacing w:before="100" w:after="0" w:line="560" w:lineRule="exact"/>
        <w:ind w:right="0" w:firstLine="642" w:firstLineChars="200"/>
        <w:jc w:val="both"/>
        <w:textAlignment w:val="auto"/>
        <w:rPr>
          <w:rFonts w:hint="eastAsia" w:ascii="黑体" w:hAnsi="黑体" w:eastAsia="黑体" w:cs="黑体"/>
          <w:color w:val="auto"/>
          <w:sz w:val="32"/>
          <w:szCs w:val="32"/>
          <w:highlight w:val="none"/>
          <w:lang w:val="en-US" w:eastAsia="zh-CN"/>
        </w:rPr>
      </w:pPr>
      <w:r>
        <w:rPr>
          <w:rFonts w:hint="eastAsia" w:ascii="仿宋_GB2312" w:hAnsi="仿宋_GB2312" w:eastAsia="仿宋_GB2312" w:cs="仿宋_GB2312"/>
          <w:b/>
          <w:bCs/>
          <w:i w:val="0"/>
          <w:iCs w:val="0"/>
          <w:color w:val="000000"/>
          <w:kern w:val="2"/>
          <w:sz w:val="32"/>
          <w:szCs w:val="32"/>
          <w:lang w:val="en-US" w:eastAsia="zh-CN" w:bidi="ar-SA"/>
        </w:rPr>
        <w:t>4.构建现代化林业产业体系。</w:t>
      </w:r>
      <w:r>
        <w:rPr>
          <w:rFonts w:hint="eastAsia" w:ascii="仿宋_GB2312" w:hAnsi="仿宋_GB2312" w:eastAsia="仿宋_GB2312" w:cs="仿宋_GB2312"/>
          <w:i w:val="0"/>
          <w:iCs w:val="0"/>
          <w:color w:val="000000"/>
          <w:kern w:val="2"/>
          <w:sz w:val="32"/>
          <w:szCs w:val="32"/>
          <w:lang w:val="en-US" w:eastAsia="zh-CN" w:bidi="ar-SA"/>
        </w:rPr>
        <w:t>立足全局功能定位，结合林业资源实际，重点巩固林下经济等林业产业，改造提升油茶、毛竹等传统产业，实施推进油茶扩面提质、山茶油品牌建设。开展“以竹代塑”行动，引进竹产品深加工企业，提高竹产品附加值。同时围绕休闲旅游发展，坚持推进森林旅游康养、森林旅游等新型产业，加强古树名木保护，以树为景，加快森林观光旅游发展。</w:t>
      </w:r>
      <w:r>
        <w:rPr>
          <w:rFonts w:hint="eastAsia" w:ascii="黑体" w:hAnsi="黑体" w:eastAsia="黑体" w:cs="黑体"/>
          <w:color w:val="auto"/>
          <w:sz w:val="32"/>
          <w:szCs w:val="32"/>
          <w:highlight w:val="none"/>
          <w:lang w:val="en-US" w:eastAsia="zh-CN"/>
        </w:rPr>
        <w:t>（责任单位：局农林办，局文旅办、各镇、洗药湖管理处，2025年底前完成）</w:t>
      </w:r>
    </w:p>
    <w:p>
      <w:pPr>
        <w:keepNext w:val="0"/>
        <w:keepLines w:val="0"/>
        <w:pageBreakBefore w:val="0"/>
        <w:widowControl w:val="0"/>
        <w:kinsoku/>
        <w:wordWrap/>
        <w:autoSpaceDE w:val="0"/>
        <w:autoSpaceDN w:val="0"/>
        <w:bidi w:val="0"/>
        <w:adjustRightInd/>
        <w:snapToGrid/>
        <w:spacing w:before="100" w:after="0" w:line="560" w:lineRule="exact"/>
        <w:ind w:right="0" w:firstLine="642" w:firstLineChars="200"/>
        <w:jc w:val="both"/>
        <w:textAlignment w:val="auto"/>
        <w:rPr>
          <w:rFonts w:hint="eastAsia" w:ascii="黑体" w:hAnsi="黑体" w:eastAsia="黑体" w:cs="黑体"/>
          <w:color w:val="auto"/>
          <w:sz w:val="32"/>
          <w:szCs w:val="32"/>
          <w:highlight w:val="none"/>
          <w:lang w:val="en-US" w:eastAsia="zh-CN"/>
        </w:rPr>
      </w:pPr>
      <w:r>
        <w:rPr>
          <w:rFonts w:hint="eastAsia" w:ascii="仿宋_GB2312" w:hAnsi="仿宋_GB2312" w:eastAsia="仿宋_GB2312" w:cs="仿宋_GB2312"/>
          <w:b/>
          <w:bCs/>
          <w:i w:val="0"/>
          <w:iCs w:val="0"/>
          <w:color w:val="000000"/>
          <w:kern w:val="2"/>
          <w:sz w:val="32"/>
          <w:szCs w:val="32"/>
          <w:lang w:val="en-US" w:eastAsia="zh-CN" w:bidi="ar-SA"/>
        </w:rPr>
        <w:t>5.发展林下经济。</w:t>
      </w:r>
      <w:r>
        <w:rPr>
          <w:rFonts w:hint="eastAsia" w:ascii="仿宋_GB2312" w:hAnsi="仿宋_GB2312" w:eastAsia="仿宋_GB2312" w:cs="仿宋_GB2312"/>
          <w:i w:val="0"/>
          <w:iCs w:val="0"/>
          <w:color w:val="000000"/>
          <w:kern w:val="2"/>
          <w:sz w:val="32"/>
          <w:szCs w:val="32"/>
          <w:lang w:val="en-US" w:eastAsia="zh-CN" w:bidi="ar-SA"/>
        </w:rPr>
        <w:t>利用公益林、天然林的林下资源、林间空地、林缘林地等发展林下经济，培育生态旅游、森林康养等新业态。推进蟠龙峰景区、梅岭索道沿线、景区主干道周边林相改造，增强森林旅游和林区景区的吸引力和竞争力。统筹山、水、林、田、湖、村等资源，巩固林泉漫居、雷港雨田水巷、上堡岭溪谷、立新在芙山房、团山楠坪古村等以民宿集群为核心的森林康养产业，创建一批依托森林资源的省级森林康养基地。大力引进适宜技术和社会资本，精心培育壮大招贤镇玉木耳、林药，梅岭镇太平镇林药，洗药湖管理处林禽、林菜，罗亭镇林花等林下经济，千方百计增加林农收入，各镇处在2025年底前要培育一批有技术、有产品、有前景的林下经济示范点或生产基地。</w:t>
      </w:r>
      <w:r>
        <w:rPr>
          <w:rFonts w:hint="eastAsia" w:ascii="黑体" w:hAnsi="黑体" w:eastAsia="黑体" w:cs="黑体"/>
          <w:i w:val="0"/>
          <w:iCs w:val="0"/>
          <w:color w:val="000000"/>
          <w:kern w:val="2"/>
          <w:sz w:val="32"/>
          <w:szCs w:val="32"/>
          <w:lang w:val="en-US" w:eastAsia="zh-CN" w:bidi="ar-SA"/>
        </w:rPr>
        <w:t>（</w:t>
      </w:r>
      <w:r>
        <w:rPr>
          <w:rFonts w:hint="eastAsia" w:ascii="黑体" w:hAnsi="黑体" w:eastAsia="黑体" w:cs="黑体"/>
          <w:color w:val="auto"/>
          <w:sz w:val="32"/>
          <w:szCs w:val="32"/>
          <w:highlight w:val="none"/>
          <w:lang w:val="en-US" w:eastAsia="zh-CN"/>
        </w:rPr>
        <w:t>责任单位：局农林办，局文旅办、各镇、洗药湖管理处，2025年底前完成）</w:t>
      </w:r>
    </w:p>
    <w:p>
      <w:pPr>
        <w:keepNext w:val="0"/>
        <w:keepLines w:val="0"/>
        <w:pageBreakBefore w:val="0"/>
        <w:widowControl w:val="0"/>
        <w:kinsoku/>
        <w:wordWrap/>
        <w:overflowPunct w:val="0"/>
        <w:topLinePunct/>
        <w:autoSpaceDE/>
        <w:autoSpaceDN/>
        <w:bidi w:val="0"/>
        <w:adjustRightInd/>
        <w:snapToGrid/>
        <w:spacing w:line="560" w:lineRule="exact"/>
        <w:ind w:firstLine="642" w:firstLineChars="200"/>
        <w:textAlignment w:val="auto"/>
        <w:rPr>
          <w:rFonts w:hint="eastAsia" w:ascii="Times New Roman" w:hAnsi="Times New Roman" w:eastAsia="楷体_GB2312" w:cs="楷体_GB2312"/>
          <w:b/>
          <w:bCs/>
          <w:color w:val="auto"/>
          <w:sz w:val="32"/>
          <w:szCs w:val="32"/>
          <w:highlight w:val="none"/>
          <w:lang w:val="en-US" w:eastAsia="zh-CN"/>
        </w:rPr>
      </w:pPr>
      <w:r>
        <w:rPr>
          <w:rFonts w:hint="eastAsia" w:ascii="Times New Roman" w:hAnsi="Times New Roman" w:eastAsia="楷体_GB2312" w:cs="楷体_GB2312"/>
          <w:b/>
          <w:bCs/>
          <w:color w:val="auto"/>
          <w:sz w:val="32"/>
          <w:szCs w:val="32"/>
          <w:highlight w:val="none"/>
          <w:lang w:val="en-US" w:eastAsia="zh-CN"/>
        </w:rPr>
        <w:t>（四）畅通林权登记</w:t>
      </w:r>
    </w:p>
    <w:p>
      <w:pPr>
        <w:keepNext w:val="0"/>
        <w:keepLines w:val="0"/>
        <w:pageBreakBefore w:val="0"/>
        <w:widowControl w:val="0"/>
        <w:kinsoku/>
        <w:wordWrap/>
        <w:autoSpaceDE w:val="0"/>
        <w:autoSpaceDN w:val="0"/>
        <w:bidi w:val="0"/>
        <w:adjustRightInd/>
        <w:snapToGrid/>
        <w:spacing w:before="100" w:after="0" w:line="560" w:lineRule="exact"/>
        <w:ind w:right="0" w:firstLine="642" w:firstLineChars="200"/>
        <w:jc w:val="both"/>
        <w:textAlignment w:val="auto"/>
        <w:rPr>
          <w:rFonts w:hint="eastAsia" w:ascii="仿宋_GB2312" w:hAnsi="仿宋_GB2312" w:eastAsia="仿宋_GB2312" w:cs="仿宋_GB2312"/>
          <w:b w:val="0"/>
          <w:bCs/>
          <w:i w:val="0"/>
          <w:strike w:val="0"/>
          <w:color w:val="000000"/>
          <w:sz w:val="32"/>
          <w:szCs w:val="32"/>
          <w:lang w:val="en-US" w:eastAsia="zh-CN"/>
        </w:rPr>
      </w:pPr>
      <w:r>
        <w:rPr>
          <w:rFonts w:hint="eastAsia" w:ascii="仿宋_GB2312" w:hAnsi="仿宋_GB2312" w:eastAsia="仿宋_GB2312" w:cs="仿宋_GB2312"/>
          <w:b/>
          <w:bCs/>
          <w:i w:val="0"/>
          <w:iCs w:val="0"/>
          <w:color w:val="000000"/>
          <w:kern w:val="2"/>
          <w:sz w:val="32"/>
          <w:szCs w:val="32"/>
          <w:lang w:val="en-US" w:eastAsia="zh-CN" w:bidi="ar-SA"/>
        </w:rPr>
        <w:t>6.妥善解决林权登记历史遗留问题。</w:t>
      </w:r>
      <w:r>
        <w:rPr>
          <w:rFonts w:hint="eastAsia" w:ascii="仿宋_GB2312" w:hAnsi="仿宋_GB2312" w:eastAsia="仿宋_GB2312" w:cs="仿宋_GB2312"/>
          <w:b/>
          <w:bCs/>
          <w:color w:val="auto"/>
          <w:sz w:val="32"/>
          <w:szCs w:val="32"/>
          <w:highlight w:val="none"/>
          <w:lang w:val="en-US" w:eastAsia="zh-CN"/>
        </w:rPr>
        <w:t>一是</w:t>
      </w:r>
      <w:r>
        <w:rPr>
          <w:rFonts w:hint="eastAsia" w:ascii="仿宋_GB2312" w:hAnsi="仿宋_GB2312" w:eastAsia="仿宋_GB2312" w:cs="仿宋_GB2312"/>
          <w:b w:val="0"/>
          <w:bCs w:val="0"/>
          <w:color w:val="auto"/>
          <w:sz w:val="32"/>
          <w:szCs w:val="32"/>
          <w:highlight w:val="none"/>
          <w:lang w:val="en-US" w:eastAsia="zh-CN"/>
        </w:rPr>
        <w:t>坚持原依法颁发的林权证继续有效、不变不换；</w:t>
      </w:r>
      <w:r>
        <w:rPr>
          <w:rFonts w:hint="eastAsia" w:ascii="仿宋_GB2312" w:hAnsi="仿宋_GB2312" w:eastAsia="仿宋_GB2312" w:cs="仿宋_GB2312"/>
          <w:b/>
          <w:bCs/>
          <w:color w:val="auto"/>
          <w:sz w:val="32"/>
          <w:szCs w:val="32"/>
          <w:highlight w:val="none"/>
          <w:lang w:val="en-US" w:eastAsia="zh-CN"/>
        </w:rPr>
        <w:t>二是</w:t>
      </w:r>
      <w:r>
        <w:rPr>
          <w:rFonts w:hint="eastAsia" w:ascii="仿宋_GB2312" w:hAnsi="仿宋_GB2312" w:eastAsia="仿宋_GB2312" w:cs="仿宋_GB2312"/>
          <w:b w:val="0"/>
          <w:bCs w:val="0"/>
          <w:color w:val="auto"/>
          <w:sz w:val="32"/>
          <w:szCs w:val="32"/>
          <w:highlight w:val="none"/>
          <w:lang w:val="en-US" w:eastAsia="zh-CN"/>
        </w:rPr>
        <w:t>构建政府主导，自然资源和林业主管部门牵头，相关部门和乡镇、村组参与的工作机制。</w:t>
      </w:r>
      <w:r>
        <w:rPr>
          <w:rFonts w:hint="eastAsia" w:ascii="仿宋_GB2312" w:hAnsi="仿宋_GB2312" w:eastAsia="仿宋_GB2312" w:cs="仿宋_GB2312"/>
          <w:color w:val="auto"/>
          <w:sz w:val="32"/>
          <w:szCs w:val="32"/>
          <w:highlight w:val="none"/>
          <w:lang w:val="en-US" w:eastAsia="zh-CN"/>
        </w:rPr>
        <w:t>坚持集中清理和逐宗化解相结合，组织开展林权确权登记历史遗留问题清理规范和整合建库。有条件的地方可探索结合林地发包、延包和合同管理进行集中清理规范。对林权登记时林地所有权/使用权与林木所有权/使用权分开发证申请换证的，经林业主管部门认定属林地经营权情形的，按林地经营权类型登记发证。已登记的整宗林地申请变更、转移、抵押登记的，不得要求申请人重新提交林权地籍调查成果，权利人申请登记的，经林业主管部门会同自然资源主管部门认定后进行公示，公示无异议、完善合同后，由自然资源主管部门登记发证。</w:t>
      </w:r>
      <w:r>
        <w:rPr>
          <w:rFonts w:hint="eastAsia" w:ascii="仿宋_GB2312" w:hAnsi="仿宋_GB2312" w:eastAsia="仿宋_GB2312" w:cs="仿宋_GB2312"/>
          <w:b/>
          <w:bCs/>
          <w:color w:val="auto"/>
          <w:sz w:val="32"/>
          <w:szCs w:val="32"/>
          <w:highlight w:val="none"/>
          <w:lang w:val="en-US" w:eastAsia="zh-CN"/>
        </w:rPr>
        <w:t>三是</w:t>
      </w:r>
      <w:r>
        <w:rPr>
          <w:rFonts w:hint="eastAsia" w:ascii="仿宋_GB2312" w:hAnsi="仿宋_GB2312" w:eastAsia="仿宋_GB2312" w:cs="仿宋_GB2312"/>
          <w:b w:val="0"/>
          <w:bCs w:val="0"/>
          <w:color w:val="auto"/>
          <w:sz w:val="32"/>
          <w:szCs w:val="32"/>
          <w:highlight w:val="none"/>
          <w:lang w:val="en-US" w:eastAsia="zh-CN"/>
        </w:rPr>
        <w:t>建立林权登记协同便民利民机制。加快不动产登记系统与林权管理服务系统对接和信息共享。</w:t>
      </w:r>
      <w:r>
        <w:rPr>
          <w:rFonts w:hint="eastAsia" w:ascii="仿宋_GB2312" w:hAnsi="仿宋_GB2312" w:eastAsia="仿宋_GB2312" w:cs="仿宋_GB2312"/>
          <w:b/>
          <w:bCs/>
          <w:color w:val="auto"/>
          <w:sz w:val="32"/>
          <w:szCs w:val="32"/>
          <w:highlight w:val="none"/>
          <w:lang w:val="en-US" w:eastAsia="zh-CN"/>
        </w:rPr>
        <w:t>四是</w:t>
      </w:r>
      <w:r>
        <w:rPr>
          <w:rFonts w:hint="eastAsia" w:ascii="仿宋_GB2312" w:hAnsi="仿宋_GB2312" w:eastAsia="仿宋_GB2312" w:cs="仿宋_GB2312"/>
          <w:b w:val="0"/>
          <w:bCs w:val="0"/>
          <w:color w:val="auto"/>
          <w:sz w:val="32"/>
          <w:szCs w:val="32"/>
          <w:highlight w:val="none"/>
          <w:lang w:val="en-US" w:eastAsia="zh-CN"/>
        </w:rPr>
        <w:t>各镇处要加强林地承包经营及合同管理。</w:t>
      </w:r>
      <w:r>
        <w:rPr>
          <w:rFonts w:hint="eastAsia" w:ascii="仿宋_GB2312" w:hAnsi="仿宋_GB2312" w:eastAsia="仿宋_GB2312" w:cs="仿宋_GB2312"/>
          <w:color w:val="auto"/>
          <w:sz w:val="32"/>
          <w:szCs w:val="32"/>
          <w:highlight w:val="none"/>
          <w:lang w:val="en-US" w:eastAsia="zh-CN"/>
        </w:rPr>
        <w:t>发挥村组作用，在承包合同签订前开展林权地籍调查工作。</w:t>
      </w:r>
      <w:r>
        <w:rPr>
          <w:rFonts w:hint="eastAsia" w:ascii="仿宋_GB2312" w:hAnsi="仿宋_GB2312" w:eastAsia="仿宋_GB2312" w:cs="仿宋_GB2312"/>
          <w:b/>
          <w:bCs/>
          <w:color w:val="auto"/>
          <w:sz w:val="32"/>
          <w:szCs w:val="32"/>
          <w:highlight w:val="none"/>
          <w:lang w:val="en-US" w:eastAsia="zh-CN"/>
        </w:rPr>
        <w:t>五是</w:t>
      </w:r>
      <w:r>
        <w:rPr>
          <w:rFonts w:hint="eastAsia" w:ascii="仿宋_GB2312" w:hAnsi="仿宋_GB2312" w:eastAsia="仿宋_GB2312" w:cs="仿宋_GB2312"/>
          <w:b w:val="0"/>
          <w:bCs w:val="0"/>
          <w:color w:val="auto"/>
          <w:sz w:val="32"/>
          <w:szCs w:val="32"/>
          <w:highlight w:val="none"/>
          <w:lang w:val="en-US" w:eastAsia="zh-CN"/>
        </w:rPr>
        <w:t>林权地籍调查应遵循林业生产特点，尊重历史。</w:t>
      </w:r>
      <w:r>
        <w:rPr>
          <w:rFonts w:hint="eastAsia" w:ascii="仿宋_GB2312" w:hAnsi="仿宋_GB2312" w:eastAsia="仿宋_GB2312" w:cs="仿宋_GB2312"/>
          <w:color w:val="auto"/>
          <w:sz w:val="32"/>
          <w:szCs w:val="32"/>
          <w:highlight w:val="none"/>
          <w:lang w:val="en-US" w:eastAsia="zh-CN"/>
        </w:rPr>
        <w:t>集体林权首次登记和原林权登记成果不完善确需开展地籍调查的，由属地申请，由局农林办与市自规局湾里分局联合组织开展，相关经费纳入局级财政预算。</w:t>
      </w:r>
      <w:r>
        <w:rPr>
          <w:rFonts w:hint="eastAsia" w:ascii="仿宋_GB2312" w:hAnsi="仿宋_GB2312" w:eastAsia="仿宋_GB2312" w:cs="仿宋_GB2312"/>
          <w:b/>
          <w:bCs/>
          <w:color w:val="auto"/>
          <w:sz w:val="32"/>
          <w:szCs w:val="32"/>
          <w:highlight w:val="none"/>
          <w:lang w:val="en-US" w:eastAsia="zh-CN"/>
        </w:rPr>
        <w:t>六是</w:t>
      </w:r>
      <w:r>
        <w:rPr>
          <w:rFonts w:hint="eastAsia" w:ascii="仿宋_GB2312" w:hAnsi="仿宋_GB2312" w:eastAsia="仿宋_GB2312" w:cs="仿宋_GB2312"/>
          <w:b w:val="0"/>
          <w:bCs w:val="0"/>
          <w:color w:val="auto"/>
          <w:sz w:val="32"/>
          <w:szCs w:val="32"/>
          <w:highlight w:val="none"/>
          <w:lang w:val="en-US" w:eastAsia="zh-CN"/>
        </w:rPr>
        <w:t>各地要完善山林权属争议调处和林权流转合同纠纷调处机制，将集体林地承包经营纠纷调处纳入管理局综合考评体系。</w:t>
      </w:r>
      <w:r>
        <w:rPr>
          <w:rFonts w:hint="eastAsia" w:ascii="仿宋_GB2312" w:hAnsi="仿宋_GB2312" w:eastAsia="仿宋_GB2312" w:cs="仿宋_GB2312"/>
          <w:b/>
          <w:bCs/>
          <w:color w:val="auto"/>
          <w:sz w:val="32"/>
          <w:szCs w:val="32"/>
          <w:highlight w:val="none"/>
          <w:lang w:val="en-US" w:eastAsia="zh-CN"/>
        </w:rPr>
        <w:t>七是</w:t>
      </w:r>
      <w:r>
        <w:rPr>
          <w:rFonts w:hint="eastAsia" w:ascii="仿宋_GB2312" w:hAnsi="仿宋_GB2312" w:eastAsia="仿宋_GB2312" w:cs="仿宋_GB2312"/>
          <w:b w:val="0"/>
          <w:bCs w:val="0"/>
          <w:color w:val="auto"/>
          <w:sz w:val="32"/>
          <w:szCs w:val="32"/>
          <w:highlight w:val="none"/>
          <w:lang w:val="en-US" w:eastAsia="zh-CN"/>
        </w:rPr>
        <w:t>各镇处要推进完成遗失林权证补办工作，局农林办与市自规局湾里分局理顺集体林权流转办证工作流程。</w:t>
      </w:r>
      <w:r>
        <w:rPr>
          <w:rFonts w:hint="eastAsia" w:ascii="Times New Roman" w:hAnsi="Times New Roman" w:eastAsia="黑体" w:cs="黑体"/>
          <w:color w:val="auto"/>
          <w:sz w:val="32"/>
          <w:szCs w:val="32"/>
          <w:highlight w:val="none"/>
          <w:lang w:val="en-US" w:eastAsia="zh-CN"/>
        </w:rPr>
        <w:t>（责任单位：市自规局湾里分局、局农林办、局财政办、局社稳办、各镇、洗药湖管理处，持续推进）</w:t>
      </w:r>
    </w:p>
    <w:p>
      <w:pPr>
        <w:keepNext w:val="0"/>
        <w:keepLines w:val="0"/>
        <w:pageBreakBefore w:val="0"/>
        <w:widowControl w:val="0"/>
        <w:kinsoku/>
        <w:wordWrap/>
        <w:overflowPunct w:val="0"/>
        <w:topLinePunct/>
        <w:autoSpaceDE/>
        <w:autoSpaceDN/>
        <w:bidi w:val="0"/>
        <w:adjustRightInd/>
        <w:snapToGrid/>
        <w:spacing w:line="560" w:lineRule="exact"/>
        <w:ind w:firstLine="642" w:firstLineChars="200"/>
        <w:textAlignment w:val="auto"/>
        <w:rPr>
          <w:rFonts w:hint="eastAsia" w:ascii="Times New Roman" w:hAnsi="Times New Roman" w:eastAsia="楷体_GB2312" w:cs="楷体_GB2312"/>
          <w:b/>
          <w:bCs/>
          <w:color w:val="auto"/>
          <w:sz w:val="32"/>
          <w:szCs w:val="32"/>
          <w:highlight w:val="none"/>
          <w:lang w:val="en-US" w:eastAsia="zh-CN"/>
        </w:rPr>
      </w:pPr>
      <w:r>
        <w:rPr>
          <w:rFonts w:hint="eastAsia" w:ascii="Times New Roman" w:hAnsi="Times New Roman" w:eastAsia="楷体_GB2312" w:cs="楷体_GB2312"/>
          <w:b/>
          <w:bCs/>
          <w:color w:val="auto"/>
          <w:sz w:val="32"/>
          <w:szCs w:val="32"/>
          <w:highlight w:val="none"/>
          <w:lang w:val="en-US" w:eastAsia="zh-CN"/>
        </w:rPr>
        <w:t>（五）加强林业基层建设</w:t>
      </w:r>
    </w:p>
    <w:p>
      <w:pPr>
        <w:keepNext w:val="0"/>
        <w:keepLines w:val="0"/>
        <w:pageBreakBefore w:val="0"/>
        <w:widowControl w:val="0"/>
        <w:kinsoku/>
        <w:wordWrap/>
        <w:autoSpaceDE w:val="0"/>
        <w:autoSpaceDN w:val="0"/>
        <w:bidi w:val="0"/>
        <w:adjustRightInd/>
        <w:snapToGrid/>
        <w:spacing w:before="100" w:after="0" w:line="560" w:lineRule="exact"/>
        <w:ind w:right="0" w:firstLine="642" w:firstLineChars="200"/>
        <w:jc w:val="both"/>
        <w:textAlignment w:val="auto"/>
        <w:rPr>
          <w:rFonts w:hint="eastAsia" w:ascii="Times New Roman" w:hAnsi="Times New Roman" w:eastAsia="黑体" w:cs="黑体"/>
          <w:color w:val="auto"/>
          <w:sz w:val="32"/>
          <w:szCs w:val="32"/>
          <w:highlight w:val="none"/>
          <w:lang w:val="en-US" w:eastAsia="zh-CN"/>
        </w:rPr>
      </w:pPr>
      <w:r>
        <w:rPr>
          <w:rFonts w:hint="eastAsia" w:ascii="仿宋_GB2312" w:hAnsi="仿宋_GB2312" w:eastAsia="仿宋_GB2312" w:cs="仿宋_GB2312"/>
          <w:b/>
          <w:bCs/>
          <w:i w:val="0"/>
          <w:iCs w:val="0"/>
          <w:color w:val="000000"/>
          <w:kern w:val="2"/>
          <w:sz w:val="32"/>
          <w:szCs w:val="32"/>
          <w:lang w:val="en-US" w:eastAsia="zh-CN" w:bidi="ar-SA"/>
        </w:rPr>
        <w:t>7.加强队伍建设。</w:t>
      </w:r>
      <w:r>
        <w:rPr>
          <w:rFonts w:hint="eastAsia" w:ascii="仿宋_GB2312" w:hAnsi="仿宋_GB2312" w:eastAsia="仿宋_GB2312" w:cs="仿宋_GB2312"/>
          <w:b w:val="0"/>
          <w:bCs/>
          <w:i w:val="0"/>
          <w:strike w:val="0"/>
          <w:color w:val="000000"/>
          <w:sz w:val="32"/>
          <w:szCs w:val="32"/>
          <w:lang w:val="en-US" w:eastAsia="zh-CN"/>
        </w:rPr>
        <w:t>局农林办要在局人社办的指导下适当增加林业专业技术岗位，充实林业力量。各镇处要明确机构、人员承担林业工作。根据工作需要，及时充实基层林业专业技术队伍，提升乡镇林业服务水平。根据省、市林长制工作要求，打造“一专多能”护林员，实现护林员“一员”变“五员”，逐步将专职护林员队伍打造成集林业法规宣传员、林业技术推广员、森林防火员、林业有害生物防疫员、野生动植物保护员等为一体的林业管护队伍，全面提升森林资源保护管理水平</w:t>
      </w:r>
      <w:r>
        <w:rPr>
          <w:rFonts w:hint="eastAsia" w:ascii="仿宋" w:hAnsi="仿宋" w:eastAsia="仿宋" w:cs="仿宋"/>
          <w:color w:val="auto"/>
          <w:sz w:val="32"/>
          <w:szCs w:val="32"/>
          <w:highlight w:val="none"/>
          <w:lang w:val="en-US" w:eastAsia="zh-CN"/>
        </w:rPr>
        <w:t>。</w:t>
      </w:r>
      <w:r>
        <w:rPr>
          <w:rFonts w:hint="eastAsia" w:ascii="Times New Roman" w:hAnsi="Times New Roman" w:eastAsia="黑体" w:cs="黑体"/>
          <w:color w:val="auto"/>
          <w:sz w:val="32"/>
          <w:szCs w:val="32"/>
          <w:highlight w:val="none"/>
          <w:lang w:val="en-US" w:eastAsia="zh-CN"/>
        </w:rPr>
        <w:t>（责任单位：局农林办、局人社办、</w:t>
      </w:r>
      <w:r>
        <w:rPr>
          <w:rFonts w:hint="eastAsia" w:ascii="Times New Roman" w:hAnsi="Times New Roman" w:eastAsia="黑体" w:cs="黑体"/>
          <w:color w:val="auto"/>
          <w:sz w:val="32"/>
          <w:szCs w:val="32"/>
          <w:highlight w:val="none"/>
          <w:lang w:eastAsia="zh-CN"/>
        </w:rPr>
        <w:t>各</w:t>
      </w:r>
      <w:r>
        <w:rPr>
          <w:rFonts w:hint="eastAsia" w:ascii="Times New Roman" w:hAnsi="Times New Roman" w:eastAsia="黑体" w:cs="黑体"/>
          <w:color w:val="auto"/>
          <w:sz w:val="32"/>
          <w:szCs w:val="32"/>
          <w:highlight w:val="none"/>
          <w:lang w:val="en-US" w:eastAsia="zh-CN"/>
        </w:rPr>
        <w:t>镇、洗药湖管理处，2025年底前完成）</w:t>
      </w:r>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三、工作要求</w:t>
      </w:r>
    </w:p>
    <w:p>
      <w:pPr>
        <w:keepNext w:val="0"/>
        <w:keepLines w:val="0"/>
        <w:pageBreakBefore w:val="0"/>
        <w:widowControl w:val="0"/>
        <w:kinsoku/>
        <w:wordWrap/>
        <w:overflowPunct w:val="0"/>
        <w:topLinePunct/>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1.提高政治站位。</w:t>
      </w:r>
      <w:r>
        <w:rPr>
          <w:rFonts w:hint="eastAsia" w:ascii="仿宋_GB2312" w:hAnsi="仿宋_GB2312" w:eastAsia="仿宋_GB2312" w:cs="仿宋_GB2312"/>
          <w:color w:val="auto"/>
          <w:sz w:val="32"/>
          <w:szCs w:val="32"/>
          <w:highlight w:val="none"/>
          <w:lang w:val="en-US" w:eastAsia="zh-CN"/>
        </w:rPr>
        <w:t>深刻认识深化集体林权制度改革的重要性与紧迫性，为加强深化集体林权制度改革工作的组织领导，成立由管理局主要领导任主任，管理局分管领导任副主任，局农林办、局财政办、局文旅办、局人社办、局社稳办、市自规局湾里分局主要负责人，各镇、洗药湖管理处行政主要领导为成员的湾里管理局深化集体林权制度改革工作专班，统筹协调集体林权制度改革工作。专班办公室设在局农林办，</w:t>
      </w:r>
      <w:r>
        <w:rPr>
          <w:rFonts w:hint="eastAsia" w:ascii="仿宋_GB2312" w:hAnsi="仿宋_GB2312" w:eastAsia="仿宋_GB2312" w:cs="仿宋_GB2312"/>
          <w:color w:val="auto"/>
          <w:w w:val="100"/>
          <w:sz w:val="32"/>
          <w:szCs w:val="32"/>
          <w:lang w:val="en-US" w:eastAsia="zh-CN"/>
        </w:rPr>
        <w:t>具体负责改革试点日常工作</w:t>
      </w:r>
      <w:r>
        <w:rPr>
          <w:rFonts w:hint="eastAsia" w:ascii="仿宋_GB2312" w:hAnsi="仿宋_GB2312" w:eastAsia="仿宋_GB2312" w:cs="仿宋_GB2312"/>
          <w:color w:val="auto"/>
          <w:sz w:val="32"/>
          <w:szCs w:val="32"/>
          <w:highlight w:val="none"/>
          <w:lang w:val="en-US" w:eastAsia="zh-CN"/>
        </w:rPr>
        <w:t>，由局农林办主要负责人任办公室负责人</w:t>
      </w:r>
      <w:r>
        <w:rPr>
          <w:rFonts w:hint="eastAsia" w:ascii="仿宋_GB2312" w:hAnsi="仿宋_GB2312" w:eastAsia="仿宋_GB2312" w:cs="仿宋_GB2312"/>
          <w:color w:val="auto"/>
          <w:w w:val="100"/>
          <w:sz w:val="32"/>
          <w:szCs w:val="32"/>
          <w:lang w:val="en-US" w:eastAsia="zh-CN"/>
        </w:rPr>
        <w:t>。工作专班在改革工作任务完成后自行撤销。</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2.突出任务重点。</w:t>
      </w:r>
      <w:r>
        <w:rPr>
          <w:rFonts w:hint="eastAsia" w:ascii="仿宋_GB2312" w:hAnsi="仿宋_GB2312" w:eastAsia="仿宋_GB2312" w:cs="仿宋_GB2312"/>
          <w:color w:val="auto"/>
          <w:sz w:val="32"/>
          <w:szCs w:val="32"/>
          <w:highlight w:val="none"/>
          <w:lang w:val="en-US" w:eastAsia="zh-CN"/>
        </w:rPr>
        <w:t>进一步完善林地确权登记工作，确保林地权属清晰、界址明确，减少林权纠纷，使林农放心经营林业资产；放活林地经营权，积极推动林业经营模式创新，培育新型林业经营主体，实现林业规模化、集约化经营，提升林业生产效率与经济效益；强化林地经营收益权，加大对林业产业的扶持力度，发展林业特色产业项目，提高林产品附加值，拓宽林农增收渠道，壮大村集体经济，促进林业可持续发展与乡村振兴战略的有效结合。</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yellow"/>
          <w:lang w:val="en-US" w:eastAsia="zh-CN"/>
        </w:rPr>
      </w:pPr>
      <w:r>
        <w:rPr>
          <w:rFonts w:hint="eastAsia" w:ascii="楷体_GB2312" w:hAnsi="楷体_GB2312" w:eastAsia="楷体_GB2312" w:cs="楷体_GB2312"/>
          <w:b/>
          <w:bCs/>
          <w:color w:val="auto"/>
          <w:sz w:val="32"/>
          <w:szCs w:val="32"/>
          <w:highlight w:val="none"/>
          <w:lang w:val="en-US" w:eastAsia="zh-CN"/>
        </w:rPr>
        <w:t>3.形成部门合力。</w:t>
      </w:r>
      <w:r>
        <w:rPr>
          <w:rFonts w:hint="eastAsia" w:ascii="仿宋_GB2312" w:hAnsi="仿宋_GB2312" w:eastAsia="仿宋_GB2312" w:cs="仿宋_GB2312"/>
          <w:color w:val="auto"/>
          <w:sz w:val="32"/>
          <w:szCs w:val="32"/>
          <w:highlight w:val="none"/>
          <w:lang w:val="en-US" w:eastAsia="zh-CN"/>
        </w:rPr>
        <w:t>各镇、洗药湖管理处要勇挑重担，发挥属地主体责任，加强组织领导与统筹协调，引导广大林农和社会资本发展林下经济、森林旅游等特色产业项目，实现林业规模化经营；农林办要做好牵头抓总，精心规划改革路线，明确各阶段目标任务，将深化集体林权制度改革工作纳入年度林长制考核；财政部门要加大资金投入，为林地确权登记、林业产业扶持等方面提供坚实的资金保障；其他各部门要凝聚强大合力，促进资源共享，协同推进深化集体林权制度改革工作。</w:t>
      </w:r>
    </w:p>
    <w:p>
      <w:pPr>
        <w:keepNext w:val="0"/>
        <w:keepLines w:val="0"/>
        <w:pageBreakBefore w:val="0"/>
        <w:widowControl w:val="0"/>
        <w:numPr>
          <w:ilvl w:val="0"/>
          <w:numId w:val="0"/>
        </w:numPr>
        <w:kinsoku/>
        <w:wordWrap/>
        <w:overflowPunct w:val="0"/>
        <w:topLinePunct/>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4.认真总结</w:t>
      </w:r>
      <w:r>
        <w:rPr>
          <w:rFonts w:hint="default" w:ascii="楷体_GB2312" w:hAnsi="楷体_GB2312" w:eastAsia="楷体_GB2312" w:cs="楷体_GB2312"/>
          <w:b/>
          <w:bCs/>
          <w:color w:val="auto"/>
          <w:sz w:val="32"/>
          <w:szCs w:val="32"/>
          <w:highlight w:val="none"/>
          <w:lang w:val="en-US" w:eastAsia="zh-CN"/>
        </w:rPr>
        <w:t>提炼</w:t>
      </w:r>
      <w:r>
        <w:rPr>
          <w:rFonts w:hint="eastAsia" w:ascii="楷体_GB2312" w:hAnsi="楷体_GB2312" w:eastAsia="楷体_GB2312" w:cs="楷体_GB2312"/>
          <w:b/>
          <w:bCs/>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全局深化集体林权制度改革工作时间跨度为两年（2024-2025年），所涉及单位要积极协调好集体林权制度改革的各项工作。局农林办派出专业人员对各镇、洗药湖管理处进行业务指导，及时解决发现改革过程中存在的问题，认真总结改革过程中出现的好经验、好做法，形成深化集体林权制度改革的湾里经验。</w:t>
      </w:r>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黑体" w:cs="黑体"/>
          <w:color w:val="auto"/>
          <w:sz w:val="32"/>
          <w:szCs w:val="32"/>
          <w:highlight w:val="none"/>
          <w:lang w:val="en-US" w:eastAsia="zh-CN"/>
        </w:rPr>
      </w:pPr>
    </w:p>
    <w:p>
      <w:pPr>
        <w:keepNext w:val="0"/>
        <w:keepLines w:val="0"/>
        <w:pageBreakBefore w:val="0"/>
        <w:widowControl w:val="0"/>
        <w:kinsoku/>
        <w:wordWrap/>
        <w:autoSpaceDE w:val="0"/>
        <w:autoSpaceDN w:val="0"/>
        <w:bidi w:val="0"/>
        <w:adjustRightInd/>
        <w:snapToGrid/>
        <w:spacing w:before="100" w:after="0" w:line="560" w:lineRule="exact"/>
        <w:ind w:right="0" w:firstLine="640" w:firstLineChars="200"/>
        <w:jc w:val="both"/>
        <w:textAlignment w:val="auto"/>
        <w:rPr>
          <w:rFonts w:hint="default" w:ascii="仿宋_GB2312" w:hAnsi="仿宋_GB2312" w:eastAsia="仿宋_GB2312" w:cs="仿宋_GB2312"/>
          <w:bCs/>
          <w:color w:val="000000"/>
          <w:spacing w:val="0"/>
          <w:sz w:val="32"/>
          <w:szCs w:val="32"/>
          <w:u w:val="none"/>
          <w:lang w:val="en-US" w:eastAsia="zh-CN"/>
        </w:rPr>
      </w:pPr>
    </w:p>
    <w:p>
      <w:pPr>
        <w:keepNext w:val="0"/>
        <w:keepLines w:val="0"/>
        <w:pageBreakBefore w:val="0"/>
        <w:widowControl w:val="0"/>
        <w:kinsoku/>
        <w:wordWrap/>
        <w:autoSpaceDE w:val="0"/>
        <w:autoSpaceDN w:val="0"/>
        <w:bidi w:val="0"/>
        <w:adjustRightInd/>
        <w:snapToGrid/>
        <w:spacing w:before="0" w:after="0" w:line="560" w:lineRule="exact"/>
        <w:ind w:left="0" w:right="0" w:firstLine="800"/>
        <w:jc w:val="both"/>
        <w:textAlignment w:val="auto"/>
        <w:rPr>
          <w:rFonts w:hint="eastAsia" w:ascii="仿宋_GB2312" w:hAnsi="仿宋_GB2312" w:eastAsia="仿宋_GB2312" w:cs="仿宋_GB2312"/>
          <w:color w:val="auto"/>
          <w:sz w:val="32"/>
          <w:szCs w:val="32"/>
          <w:highlight w:val="none"/>
        </w:rPr>
      </w:pPr>
    </w:p>
    <w:p>
      <w:pPr>
        <w:pStyle w:val="2"/>
        <w:rPr>
          <w:rFonts w:hint="eastAsia" w:ascii="仿宋_GB2312" w:hAnsi="仿宋_GB2312" w:eastAsia="仿宋_GB2312" w:cs="仿宋_GB2312"/>
          <w:color w:val="auto"/>
          <w:sz w:val="32"/>
          <w:szCs w:val="32"/>
          <w:highlight w:val="none"/>
        </w:rPr>
      </w:pPr>
    </w:p>
    <w:p>
      <w:pPr>
        <w:pStyle w:val="3"/>
        <w:rPr>
          <w:rFonts w:hint="eastAsia" w:ascii="仿宋_GB2312" w:hAnsi="仿宋_GB2312" w:eastAsia="仿宋_GB2312" w:cs="仿宋_GB2312"/>
          <w:color w:val="auto"/>
          <w:sz w:val="32"/>
          <w:szCs w:val="32"/>
          <w:highlight w:val="none"/>
        </w:rPr>
      </w:pPr>
    </w:p>
    <w:p>
      <w:pPr>
        <w:pStyle w:val="4"/>
        <w:keepNext w:val="0"/>
        <w:keepLines w:val="0"/>
        <w:pageBreakBefore w:val="0"/>
        <w:widowControl/>
        <w:kinsoku/>
        <w:wordWrap w:val="0"/>
        <w:overflowPunct/>
        <w:topLinePunct w:val="0"/>
        <w:autoSpaceDE/>
        <w:autoSpaceDN/>
        <w:bidi w:val="0"/>
        <w:adjustRightInd/>
        <w:snapToGrid/>
        <w:spacing w:before="0" w:after="0"/>
        <w:ind w:left="862" w:right="862"/>
        <w:textAlignment w:val="auto"/>
        <w:rPr>
          <w:rFonts w:hint="eastAsia" w:ascii="仿宋_GB2312" w:hAnsi="仿宋_GB2312" w:eastAsia="仿宋_GB2312" w:cs="仿宋_GB2312"/>
          <w:color w:val="auto"/>
          <w:sz w:val="32"/>
          <w:szCs w:val="32"/>
          <w:highlight w:val="none"/>
        </w:rPr>
      </w:pPr>
    </w:p>
    <w:p>
      <w:pPr>
        <w:pStyle w:val="2"/>
        <w:ind w:left="0" w:leftChars="0" w:firstLine="0" w:firstLineChars="0"/>
        <w:rPr>
          <w:rFonts w:hint="eastAsia" w:ascii="仿宋_GB2312" w:hAnsi="仿宋_GB2312" w:eastAsia="仿宋_GB2312" w:cs="仿宋_GB2312"/>
          <w:color w:val="auto"/>
          <w:sz w:val="32"/>
          <w:szCs w:val="32"/>
          <w:highlight w:val="none"/>
        </w:rPr>
      </w:pPr>
    </w:p>
    <w:p>
      <w:pPr>
        <w:pStyle w:val="3"/>
        <w:rPr>
          <w:rFonts w:hint="eastAsia"/>
        </w:rPr>
      </w:pPr>
    </w:p>
    <w:p>
      <w:pPr>
        <w:pStyle w:val="2"/>
        <w:spacing w:line="380" w:lineRule="exact"/>
        <w:ind w:firstLine="680" w:firstLineChars="200"/>
        <w:rPr>
          <w:rFonts w:hint="eastAsia"/>
          <w:lang w:val="en-US" w:eastAsia="zh-CN"/>
        </w:rPr>
      </w:pPr>
      <w:bookmarkStart w:id="0" w:name="_GoBack"/>
      <w:bookmarkEnd w:id="0"/>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6"/>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52DF37"/>
    <w:multiLevelType w:val="singleLevel"/>
    <w:tmpl w:val="2552DF3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103F54"/>
    <w:rsid w:val="22103F54"/>
    <w:rsid w:val="39E76079"/>
    <w:rsid w:val="4D714DC1"/>
    <w:rsid w:val="6FDE807F"/>
    <w:rsid w:val="AFFC7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3"/>
    <w:basedOn w:val="1"/>
    <w:next w:val="1"/>
    <w:qFormat/>
    <w:uiPriority w:val="0"/>
    <w:pPr>
      <w:keepNext/>
      <w:outlineLvl w:val="2"/>
    </w:pPr>
    <w:rPr>
      <w:b/>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3"/>
    <w:unhideWhenUsed/>
    <w:qFormat/>
    <w:uiPriority w:val="0"/>
    <w:pPr>
      <w:ind w:firstLine="420" w:firstLineChars="100"/>
    </w:pPr>
  </w:style>
  <w:style w:type="paragraph" w:styleId="3">
    <w:name w:val="Body Text"/>
    <w:basedOn w:val="1"/>
    <w:next w:val="4"/>
    <w:qFormat/>
    <w:uiPriority w:val="0"/>
    <w:rPr>
      <w:rFonts w:ascii="仿宋" w:hAnsi="仿宋" w:eastAsia="仿宋" w:cs="仿宋"/>
      <w:sz w:val="34"/>
      <w:szCs w:val="34"/>
      <w:lang w:val="en-US" w:eastAsia="en-US" w:bidi="ar-SA"/>
    </w:rPr>
  </w:style>
  <w:style w:type="paragraph" w:customStyle="1" w:styleId="4">
    <w:name w:val="引用1"/>
    <w:next w:val="1"/>
    <w:qFormat/>
    <w:uiPriority w:val="0"/>
    <w:pPr>
      <w:wordWrap w:val="0"/>
      <w:spacing w:before="200" w:after="160"/>
      <w:ind w:left="864" w:right="864"/>
      <w:jc w:val="center"/>
    </w:pPr>
    <w:rPr>
      <w:rFonts w:ascii="Calibri" w:hAnsi="Calibri" w:eastAsia="宋体" w:cs="Times New Roman"/>
      <w:i/>
      <w:sz w:val="21"/>
      <w:szCs w:val="22"/>
      <w:lang w:val="en-US" w:eastAsia="zh-CN"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9"/>
    <w:qFormat/>
    <w:uiPriority w:val="0"/>
    <w:pPr>
      <w:spacing w:beforeAutospacing="1" w:afterAutospacing="1"/>
    </w:pPr>
  </w:style>
  <w:style w:type="paragraph" w:customStyle="1" w:styleId="9">
    <w:name w:val="正文1"/>
    <w:qFormat/>
    <w:uiPriority w:val="0"/>
    <w:pPr>
      <w:widowControl/>
      <w:suppressAutoHyphens w:val="0"/>
      <w:bidi w:val="0"/>
      <w:spacing w:beforeLines="0" w:beforeAutospacing="0" w:afterLines="0" w:afterAutospacing="0"/>
      <w:jc w:val="left"/>
    </w:pPr>
    <w:rPr>
      <w:rFonts w:ascii="Times New Roman" w:hAnsi="Times New Roman" w:eastAsia="宋体" w:cs="Times New Roman"/>
      <w:color w:val="auto"/>
      <w:kern w:val="0"/>
      <w:sz w:val="24"/>
      <w:szCs w:val="24"/>
      <w:lang w:val="en-US" w:eastAsia="en-US" w:bidi="ar-SA"/>
    </w:rPr>
  </w:style>
  <w:style w:type="table" w:styleId="11">
    <w:name w:val="Table Grid"/>
    <w:basedOn w:val="10"/>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3949</Words>
  <Characters>4016</Characters>
  <Lines>0</Lines>
  <Paragraphs>0</Paragraphs>
  <TotalTime>10</TotalTime>
  <ScaleCrop>false</ScaleCrop>
  <LinksUpToDate>false</LinksUpToDate>
  <CharactersWithSpaces>4025</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2025-01-03T00:06:00Z</dcterms:created>
  <dc:creator>Superme°</dc:creator>
  <cp:lastModifiedBy>kylin</cp:lastModifiedBy>
  <cp:lastPrinted>2025-01-13T23:19:00Z</cp:lastPrinted>
  <dcterms:modified xsi:type="dcterms:W3CDTF">2025-05-26T09:05:35Z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363CAC2B75AD4DA0AFA167ADBFBFC2C2_13</vt:lpwstr>
  </property>
  <property fmtid="{D5CDD505-2E9C-101B-9397-08002B2CF9AE}" pid="4" name="KSOTemplateDocerSaveRecord">
    <vt:lpwstr>eyJoZGlkIjoiYmJiM2MzMjg5OWZjNTQwN2EwYzEzNGNkNDYzNWQwMGUiLCJ1c2VySWQiOiIyODc2Nzc2MTIifQ==</vt:lpwstr>
  </property>
</Properties>
</file>