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Cs w:val="21"/>
        </w:rPr>
      </w:pPr>
      <w:r>
        <w:rPr>
          <w:rFonts w:hint="eastAsia"/>
          <w:b/>
          <w:bCs/>
          <w:sz w:val="44"/>
          <w:szCs w:val="44"/>
        </w:rPr>
        <w:t>湾里管理局</w:t>
      </w:r>
      <w:r>
        <w:rPr>
          <w:rFonts w:hint="eastAsia"/>
          <w:b/>
          <w:bCs/>
          <w:sz w:val="44"/>
          <w:szCs w:val="44"/>
          <w:lang w:eastAsia="zh-CN"/>
        </w:rPr>
        <w:t>退休人员养老保险待遇领取资格确认办理流程</w:t>
      </w:r>
    </w:p>
    <w:p>
      <w:pPr>
        <w:jc w:val="both"/>
        <w:rPr>
          <w:sz w:val="44"/>
          <w:szCs w:val="44"/>
        </w:rPr>
      </w:pPr>
    </w:p>
    <w:tbl>
      <w:tblPr>
        <w:tblStyle w:val="3"/>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7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事项名称</w:t>
            </w:r>
          </w:p>
        </w:tc>
        <w:tc>
          <w:tcPr>
            <w:tcW w:w="7349" w:type="dxa"/>
            <w:vAlign w:val="center"/>
          </w:tcPr>
          <w:p>
            <w:pPr>
              <w:jc w:val="center"/>
              <w:rPr>
                <w:rFonts w:hint="eastAsia" w:ascii="楷体" w:hAnsi="楷体" w:eastAsia="楷体" w:cs="楷体"/>
                <w:b w:val="0"/>
                <w:bCs w:val="0"/>
                <w:sz w:val="24"/>
                <w:szCs w:val="24"/>
                <w:lang w:val="en-US" w:eastAsia="zh-CN"/>
              </w:rPr>
            </w:pPr>
            <w:r>
              <w:rPr>
                <w:rFonts w:hint="default" w:ascii="楷体" w:hAnsi="楷体" w:eastAsia="楷体" w:cs="楷体"/>
                <w:b w:val="0"/>
                <w:bCs w:val="0"/>
                <w:sz w:val="24"/>
                <w:szCs w:val="24"/>
                <w:lang w:val="en-US" w:eastAsia="zh-CN"/>
              </w:rPr>
              <w:t>退休人员养老保险待遇领取资格确认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设立依据</w:t>
            </w:r>
          </w:p>
        </w:tc>
        <w:tc>
          <w:tcPr>
            <w:tcW w:w="7349" w:type="dxa"/>
            <w:vAlign w:val="center"/>
          </w:tcPr>
          <w:p>
            <w:pPr>
              <w:jc w:val="left"/>
              <w:rPr>
                <w:rFonts w:hint="eastAsia" w:ascii="楷体" w:hAnsi="楷体" w:eastAsia="微软雅黑" w:cs="楷体"/>
                <w:b w:val="0"/>
                <w:bCs w:val="0"/>
                <w:sz w:val="24"/>
                <w:szCs w:val="24"/>
                <w:lang w:val="en-US" w:eastAsia="zh-CN"/>
              </w:rPr>
            </w:pPr>
            <w:r>
              <w:rPr>
                <w:rFonts w:hint="eastAsia" w:ascii="楷体" w:hAnsi="楷体" w:eastAsia="楷体" w:cs="楷体"/>
                <w:b w:val="0"/>
                <w:bCs w:val="0"/>
                <w:sz w:val="24"/>
                <w:szCs w:val="24"/>
                <w:lang w:val="en-US" w:eastAsia="zh-CN"/>
              </w:rPr>
              <w:t>《人力资源和社会保障部关于印发&lt;领取社会保险待遇资格认证经办规程（暂行）&gt;的通知》（人社厅发〔2018〕107号），条款具体内容包括：“省、自治区、直辖市及新疆生产建设兵团（以下简称省）和地市社保机构负责组织指导和监督考核本地区城乡居民养老保险经办管理服务工作，配合财政部门做好财政补助资金的结算和划拨工作；依据本规程制定本地区城乡居民养老保险业务经办管理办法；依据工作需要和制度规定参与制定本地区城乡居民养老保险基金财务管理办法和基金会计核算办法实施细则；制定本地区城乡居民养老保险内部控制和稽核制度，组织开展内部控制和稽核工作；规范、督导城乡居民养老保险待遇发放和社会化管理服务工作；编制、汇总、上报本级城乡居民养老保险基金预算和决算、财务和统计报表；推进建设统一的城乡居民养老保险经办管理信息系统（以下简称信息系统），负责城乡居民养老保险个人权益记录管理和数据应用分析工作；组织开展人员培训；负责个人账户结余基金归集和上解等工作。 县（市、区、旗，以下简称县）社保机构负责城乡居民养老保险的参保登记、保险费收缴衔接、基金申请与划拨、基金管理、个人账户建立与管理、待遇核定与支付、保险关系注销、保险关系转移接续、待遇领取资格确认、内控管理、档案管理、个人权益记录管理、数据应用分析以及咨询、查询和举报受理</w:t>
            </w:r>
            <w:bookmarkStart w:id="0" w:name="_GoBack"/>
            <w:bookmarkEnd w:id="0"/>
            <w:r>
              <w:rPr>
                <w:rFonts w:hint="eastAsia" w:ascii="楷体" w:hAnsi="楷体" w:eastAsia="楷体" w:cs="楷体"/>
                <w:b w:val="0"/>
                <w:bCs w:val="0"/>
                <w:sz w:val="24"/>
                <w:szCs w:val="24"/>
                <w:lang w:val="en-US" w:eastAsia="zh-CN"/>
              </w:rPr>
              <w:t>，编制、上报本级城乡居民养老保险基金预算和决算、财务和统计报表，并对乡镇（街道）事务所的业务经办工作进行指导和监督考核，组织开展人员培训等工作（地市社保机构直接经办城乡居民养老保险业务的参照执行，下同）。 乡镇（街道）事务所负责参保资源的调查和管理，对参保人员的参保资格、基本信息、待遇领取资格及关系转移资格等进行初审，将有关信息录入信息系统，并负责受理咨询、查询和举报、政策宣传、情况公示等工作。 村（居）协办员具体负责城乡居民养老保险参保登记、待遇领取、保险关系注销、保险关系转移接续等业务环节所需材料的收集与上报，负责向参保人员发放有关材料，通知参保人员办理补缴和待遇领取手续，并协助做好政策宣传与解释、待遇领取资格确认、摸底调查、居民基本信息采集和情况公示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受理条件</w:t>
            </w:r>
          </w:p>
        </w:tc>
        <w:tc>
          <w:tcPr>
            <w:tcW w:w="7349" w:type="dxa"/>
            <w:vAlign w:val="center"/>
          </w:tcPr>
          <w:p>
            <w:pPr>
              <w:jc w:val="center"/>
              <w:rPr>
                <w:rFonts w:hint="default"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予以批准的条件领取养老保险待遇的参保人员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申请材料</w:t>
            </w:r>
          </w:p>
        </w:tc>
        <w:tc>
          <w:tcPr>
            <w:tcW w:w="7349"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身份证原件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办理流程</w:t>
            </w:r>
          </w:p>
        </w:tc>
        <w:tc>
          <w:tcPr>
            <w:tcW w:w="7349" w:type="dxa"/>
            <w:vAlign w:val="center"/>
          </w:tcPr>
          <w:p>
            <w:pPr>
              <w:jc w:val="left"/>
              <w:rPr>
                <w:rFonts w:hint="default"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w:t>
            </w:r>
            <w:r>
              <w:rPr>
                <w:rFonts w:hint="default" w:ascii="楷体" w:hAnsi="楷体" w:eastAsia="楷体" w:cs="楷体"/>
                <w:b w:val="0"/>
                <w:bCs w:val="0"/>
                <w:sz w:val="24"/>
                <w:szCs w:val="24"/>
                <w:lang w:val="en-US" w:eastAsia="zh-CN"/>
              </w:rPr>
              <w:t>①申请人在</w:t>
            </w:r>
            <w:r>
              <w:rPr>
                <w:rFonts w:hint="eastAsia" w:ascii="楷体" w:hAnsi="楷体" w:eastAsia="楷体" w:cs="楷体"/>
                <w:b w:val="0"/>
                <w:bCs w:val="0"/>
                <w:sz w:val="24"/>
                <w:szCs w:val="24"/>
                <w:lang w:val="en-US" w:eastAsia="zh-CN"/>
              </w:rPr>
              <w:t>支付宝赣服通小程序</w:t>
            </w:r>
            <w:r>
              <w:rPr>
                <w:rFonts w:hint="default" w:ascii="楷体" w:hAnsi="楷体" w:eastAsia="楷体" w:cs="楷体"/>
                <w:b w:val="0"/>
                <w:bCs w:val="0"/>
                <w:sz w:val="24"/>
                <w:szCs w:val="24"/>
                <w:lang w:val="en-US" w:eastAsia="zh-CN"/>
              </w:rPr>
              <w:t>或</w:t>
            </w:r>
            <w:r>
              <w:rPr>
                <w:rFonts w:hint="eastAsia" w:ascii="楷体" w:hAnsi="楷体" w:eastAsia="楷体" w:cs="楷体"/>
                <w:b w:val="0"/>
                <w:bCs w:val="0"/>
                <w:sz w:val="24"/>
                <w:szCs w:val="24"/>
                <w:lang w:val="en-US" w:eastAsia="zh-CN"/>
              </w:rPr>
              <w:t>江西</w:t>
            </w:r>
            <w:r>
              <w:rPr>
                <w:rFonts w:hint="default" w:ascii="楷体" w:hAnsi="楷体" w:eastAsia="楷体" w:cs="楷体"/>
                <w:b w:val="0"/>
                <w:bCs w:val="0"/>
                <w:sz w:val="24"/>
                <w:szCs w:val="24"/>
                <w:lang w:val="en-US" w:eastAsia="zh-CN"/>
              </w:rPr>
              <w:t>人社app上首先需要注册账号并登陆</w:t>
            </w:r>
            <w:r>
              <w:rPr>
                <w:rFonts w:hint="eastAsia" w:ascii="楷体" w:hAnsi="楷体" w:eastAsia="楷体" w:cs="楷体"/>
                <w:b w:val="0"/>
                <w:bCs w:val="0"/>
                <w:sz w:val="24"/>
                <w:szCs w:val="24"/>
                <w:lang w:val="en-US" w:eastAsia="zh-CN"/>
              </w:rPr>
              <w:t>；</w:t>
            </w:r>
            <w:r>
              <w:rPr>
                <w:rFonts w:hint="default" w:ascii="楷体" w:hAnsi="楷体" w:eastAsia="楷体" w:cs="楷体"/>
                <w:b w:val="0"/>
                <w:bCs w:val="0"/>
                <w:sz w:val="24"/>
                <w:szCs w:val="24"/>
                <w:lang w:val="en-US" w:eastAsia="zh-CN"/>
              </w:rPr>
              <w:t>②申报人选择要办理的业务，点击办理。录入身份证号码，人脸识别确认。</w:t>
            </w:r>
          </w:p>
          <w:p>
            <w:pPr>
              <w:jc w:val="left"/>
              <w:rPr>
                <w:rFonts w:hint="default"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2.持身份证在</w:t>
            </w:r>
            <w:r>
              <w:rPr>
                <w:rFonts w:hint="default" w:ascii="楷体" w:hAnsi="楷体" w:eastAsia="楷体" w:cs="楷体"/>
                <w:b w:val="0"/>
                <w:bCs w:val="0"/>
                <w:sz w:val="24"/>
                <w:szCs w:val="24"/>
                <w:lang w:val="en-US" w:eastAsia="zh-CN"/>
              </w:rPr>
              <w:t>南昌市湾里区领秀湖街1号便民服务中心2楼西北侧社保服务大厅</w:t>
            </w:r>
            <w:r>
              <w:rPr>
                <w:rFonts w:hint="eastAsia" w:ascii="楷体" w:hAnsi="楷体" w:eastAsia="楷体" w:cs="楷体"/>
                <w:b w:val="0"/>
                <w:bCs w:val="0"/>
                <w:sz w:val="24"/>
                <w:szCs w:val="24"/>
                <w:lang w:val="en-US" w:eastAsia="zh-CN"/>
              </w:rPr>
              <w:t>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办理时限</w:t>
            </w:r>
          </w:p>
        </w:tc>
        <w:tc>
          <w:tcPr>
            <w:tcW w:w="7349"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即办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收费说明</w:t>
            </w:r>
          </w:p>
        </w:tc>
        <w:tc>
          <w:tcPr>
            <w:tcW w:w="7349"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办理机构</w:t>
            </w:r>
          </w:p>
        </w:tc>
        <w:tc>
          <w:tcPr>
            <w:tcW w:w="7349"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南昌市湾里管理局社会保险事业服务中心养老待遇股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办事窗口</w:t>
            </w:r>
          </w:p>
        </w:tc>
        <w:tc>
          <w:tcPr>
            <w:tcW w:w="7349"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湾里管理局行政服务中心二楼社保大厅3号综合窗口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办公时间</w:t>
            </w:r>
          </w:p>
        </w:tc>
        <w:tc>
          <w:tcPr>
            <w:tcW w:w="7349" w:type="dxa"/>
            <w:vAlign w:val="center"/>
          </w:tcPr>
          <w:p>
            <w:pPr>
              <w:jc w:val="center"/>
              <w:rPr>
                <w:rFonts w:hint="default"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星期一至星期五上午9:00—12:00 下午13:30—17:00（工作日中午周末节假日有延时错时服务）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咨询电话</w:t>
            </w:r>
          </w:p>
        </w:tc>
        <w:tc>
          <w:tcPr>
            <w:tcW w:w="7349" w:type="dxa"/>
            <w:vAlign w:val="center"/>
          </w:tcPr>
          <w:p>
            <w:pPr>
              <w:jc w:val="center"/>
              <w:rPr>
                <w:rFonts w:hint="default"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0791-83760403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注意事项</w:t>
            </w:r>
          </w:p>
        </w:tc>
        <w:tc>
          <w:tcPr>
            <w:tcW w:w="7349" w:type="dxa"/>
            <w:vAlign w:val="center"/>
          </w:tcPr>
          <w:p>
            <w:pPr>
              <w:jc w:val="center"/>
              <w:rPr>
                <w:rFonts w:hint="eastAsia" w:ascii="楷体" w:hAnsi="楷体" w:eastAsia="楷体" w:cs="楷体"/>
                <w:b w:val="0"/>
                <w:bCs w:val="0"/>
                <w:sz w:val="24"/>
                <w:szCs w:val="24"/>
                <w:lang w:val="en-US" w:eastAsia="zh-CN"/>
              </w:rPr>
            </w:pPr>
          </w:p>
        </w:tc>
      </w:tr>
    </w:tbl>
    <w:p>
      <w:pPr>
        <w:jc w:val="center"/>
        <w:rPr>
          <w:rFonts w:hint="eastAsia" w:ascii="楷体" w:hAnsi="楷体" w:eastAsia="楷体" w:cs="楷体"/>
          <w:b w:val="0"/>
          <w:bCs w:val="0"/>
          <w:sz w:val="24"/>
          <w:szCs w:val="24"/>
          <w:lang w:val="en-US" w:eastAsia="zh-CN"/>
        </w:rPr>
      </w:pPr>
    </w:p>
    <w:p>
      <w:pPr>
        <w:jc w:val="center"/>
        <w:rPr>
          <w:rFonts w:hint="eastAsia" w:ascii="楷体" w:hAnsi="楷体" w:eastAsia="楷体" w:cs="楷体"/>
          <w:b w:val="0"/>
          <w:bCs w:val="0"/>
          <w:sz w:val="24"/>
          <w:szCs w:val="24"/>
          <w:lang w:val="en-US" w:eastAsia="zh-CN"/>
        </w:rPr>
      </w:pPr>
    </w:p>
    <w:p>
      <w:pPr>
        <w:jc w:val="center"/>
        <w:rPr>
          <w:rFonts w:hint="eastAsia" w:ascii="楷体" w:hAnsi="楷体" w:eastAsia="楷体" w:cs="楷体"/>
          <w:b w:val="0"/>
          <w:bCs w:val="0"/>
          <w:sz w:val="24"/>
          <w:szCs w:val="24"/>
          <w:lang w:val="en-US" w:eastAsia="zh-CN"/>
        </w:rPr>
      </w:pPr>
    </w:p>
    <w:p>
      <w:pPr>
        <w:jc w:val="center"/>
        <w:rPr>
          <w:rFonts w:hint="eastAsia" w:ascii="楷体" w:hAnsi="楷体" w:eastAsia="楷体" w:cs="楷体"/>
          <w:b w:val="0"/>
          <w:bCs w:val="0"/>
          <w:sz w:val="24"/>
          <w:szCs w:val="24"/>
          <w:lang w:val="en-US" w:eastAsia="zh-CN"/>
        </w:rPr>
      </w:pPr>
    </w:p>
    <w:p>
      <w:pPr>
        <w:jc w:val="center"/>
        <w:rPr>
          <w:rFonts w:hint="eastAsia" w:ascii="楷体" w:hAnsi="楷体" w:eastAsia="楷体" w:cs="楷体"/>
          <w:b w:val="0"/>
          <w:bCs w:val="0"/>
          <w:sz w:val="24"/>
          <w:szCs w:val="24"/>
          <w:lang w:val="en-US" w:eastAsia="zh-CN"/>
        </w:rPr>
      </w:pPr>
    </w:p>
    <w:p>
      <w:pPr>
        <w:jc w:val="center"/>
        <w:rPr>
          <w:rFonts w:hint="eastAsia" w:ascii="楷体" w:hAnsi="楷体" w:eastAsia="楷体" w:cs="楷体"/>
          <w:b w:val="0"/>
          <w:bCs w:val="0"/>
          <w:sz w:val="24"/>
          <w:szCs w:val="24"/>
          <w:lang w:val="en-US" w:eastAsia="zh-CN"/>
        </w:rPr>
      </w:pPr>
    </w:p>
    <w:p>
      <w:pPr>
        <w:jc w:val="center"/>
        <w:rPr>
          <w:rFonts w:hint="eastAsia" w:ascii="楷体" w:hAnsi="楷体" w:eastAsia="楷体" w:cs="楷体"/>
          <w:b w:val="0"/>
          <w:bCs w:val="0"/>
          <w:sz w:val="24"/>
          <w:szCs w:val="24"/>
          <w:lang w:val="en-US" w:eastAsia="zh-CN"/>
        </w:rPr>
      </w:pPr>
    </w:p>
    <w:p>
      <w:pPr>
        <w:jc w:val="center"/>
        <w:rPr>
          <w:rFonts w:hint="eastAsia" w:ascii="楷体" w:hAnsi="楷体" w:eastAsia="楷体" w:cs="楷体"/>
          <w:b/>
          <w:bCs/>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mU4NDMwMGZmOGMyZWEyOGY5YjQwYzQyNDk4ZWMifQ=="/>
  </w:docVars>
  <w:rsids>
    <w:rsidRoot w:val="36C5709B"/>
    <w:rsid w:val="000851AC"/>
    <w:rsid w:val="00105363"/>
    <w:rsid w:val="00231BBA"/>
    <w:rsid w:val="00252C53"/>
    <w:rsid w:val="002B17C4"/>
    <w:rsid w:val="00487D20"/>
    <w:rsid w:val="00506DCD"/>
    <w:rsid w:val="007732B3"/>
    <w:rsid w:val="008576AB"/>
    <w:rsid w:val="00941AC0"/>
    <w:rsid w:val="00A258D4"/>
    <w:rsid w:val="00BF0325"/>
    <w:rsid w:val="00C2250A"/>
    <w:rsid w:val="00CD0C92"/>
    <w:rsid w:val="00D82B45"/>
    <w:rsid w:val="01611E9F"/>
    <w:rsid w:val="03DF5304"/>
    <w:rsid w:val="049C62A4"/>
    <w:rsid w:val="0BD90BA5"/>
    <w:rsid w:val="0F9D2FF3"/>
    <w:rsid w:val="102A26BE"/>
    <w:rsid w:val="11835B58"/>
    <w:rsid w:val="13AE2D19"/>
    <w:rsid w:val="1DF509F8"/>
    <w:rsid w:val="1FEA73BB"/>
    <w:rsid w:val="228C7276"/>
    <w:rsid w:val="22AD15C1"/>
    <w:rsid w:val="27BA2FAC"/>
    <w:rsid w:val="31361AF7"/>
    <w:rsid w:val="32E778F7"/>
    <w:rsid w:val="338E4913"/>
    <w:rsid w:val="36966CCD"/>
    <w:rsid w:val="36C5709B"/>
    <w:rsid w:val="39BB12D5"/>
    <w:rsid w:val="3A0737C0"/>
    <w:rsid w:val="3BFA0908"/>
    <w:rsid w:val="3D123BC4"/>
    <w:rsid w:val="3E38559E"/>
    <w:rsid w:val="44E52AB5"/>
    <w:rsid w:val="468C4CA2"/>
    <w:rsid w:val="49FE6112"/>
    <w:rsid w:val="57E944FA"/>
    <w:rsid w:val="5865479E"/>
    <w:rsid w:val="5C8D2A36"/>
    <w:rsid w:val="5E352148"/>
    <w:rsid w:val="5E5C13BA"/>
    <w:rsid w:val="613829EE"/>
    <w:rsid w:val="64657C34"/>
    <w:rsid w:val="6DAC54A3"/>
    <w:rsid w:val="6E0F12C3"/>
    <w:rsid w:val="6EF00E5E"/>
    <w:rsid w:val="6FCF675A"/>
    <w:rsid w:val="77267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Body Text Indent 31"/>
    <w:basedOn w:val="1"/>
    <w:autoRedefine/>
    <w:qFormat/>
    <w:uiPriority w:val="99"/>
    <w:pPr>
      <w:ind w:left="420" w:leftChars="200"/>
    </w:pPr>
    <w:rPr>
      <w:sz w:val="32"/>
    </w:rPr>
  </w:style>
  <w:style w:type="paragraph" w:styleId="6">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211</Words>
  <Characters>1205</Characters>
  <Lines>10</Lines>
  <Paragraphs>2</Paragraphs>
  <TotalTime>0</TotalTime>
  <ScaleCrop>false</ScaleCrop>
  <LinksUpToDate>false</LinksUpToDate>
  <CharactersWithSpaces>1414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2021-06-21T01:24:00Z</dcterms:created>
  <dc:creator>往事如烟</dc:creator>
  <cp:lastModifiedBy>刻度°</cp:lastModifiedBy>
  <cp:lastPrinted>2021-06-25T02:54:00Z</cp:lastPrinted>
  <dcterms:modified xsi:type="dcterms:W3CDTF">2024-05-23T02:48:31Z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AB691EDC330B4BAFA1BDE8F72EEB8D38</vt:lpwstr>
  </property>
</Properties>
</file>